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国家地震烈度速报与预警工程西藏子项目剩余资金设备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技术规范和服务要求</w:t>
      </w:r>
    </w:p>
    <w:p>
      <w:pPr>
        <w:pStyle w:val="7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一、采购清单</w:t>
      </w:r>
    </w:p>
    <w:tbl>
      <w:tblPr>
        <w:tblStyle w:val="8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68"/>
        <w:gridCol w:w="213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寻北仪及辅助设备电源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智能电源控制器（核心设备）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现场人员工具包（防风防晒，含工具及现场维护照明用具</w:t>
            </w:r>
            <w:bookmarkStart w:id="0" w:name="_Hlk168486476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）、羽绒睡袋</w:t>
            </w:r>
            <w:bookmarkEnd w:id="0"/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 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</w:tr>
    </w:tbl>
    <w:p>
      <w:pPr>
        <w:pStyle w:val="7"/>
        <w:ind w:firstLine="210"/>
        <w:rPr>
          <w:rFonts w:hint="eastAsia" w:ascii="宋体" w:hAnsi="宋体" w:cs="宋体"/>
          <w:kern w:val="0"/>
          <w:szCs w:val="21"/>
        </w:rPr>
      </w:pPr>
    </w:p>
    <w:p>
      <w:pPr>
        <w:pStyle w:val="7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二、设备技术参数</w:t>
      </w:r>
    </w:p>
    <w:p>
      <w:pPr>
        <w:pStyle w:val="4"/>
        <w:jc w:val="center"/>
        <w:rPr>
          <w:rFonts w:hint="eastAsia" w:ascii="宋体" w:hAnsi="宋体" w:eastAsia="宋体" w:cs="等线"/>
          <w:sz w:val="21"/>
          <w:szCs w:val="21"/>
        </w:rPr>
      </w:pPr>
      <w:r>
        <w:rPr>
          <w:rFonts w:hint="eastAsia" w:ascii="宋体" w:hAnsi="宋体" w:eastAsia="宋体" w:cs="等线"/>
          <w:sz w:val="21"/>
          <w:szCs w:val="21"/>
        </w:rPr>
        <w:t xml:space="preserve">表 </w:t>
      </w:r>
      <w:r>
        <w:rPr>
          <w:rFonts w:ascii="宋体" w:hAnsi="宋体" w:eastAsia="宋体" w:cs="等线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寻北仪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辅助设备电源</w:t>
      </w:r>
    </w:p>
    <w:tbl>
      <w:tblPr>
        <w:tblStyle w:val="8"/>
        <w:tblW w:w="88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218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ind w:left="30"/>
              <w:rPr>
                <w:rFonts w:hint="eastAsia"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等线"/>
                <w:sz w:val="21"/>
                <w:szCs w:val="21"/>
              </w:rPr>
              <w:t>序号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指标名称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等线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供电电压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18V 或 36V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系统功率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工作方式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纯静态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倾角测量范围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±8º；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倾角测量精度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倾角分辨率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数字输出形式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RS232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倾角数字显示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方位数字显示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方位角测量范围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ascii="宋体" w:hAnsi="宋体" w:eastAsia="宋体" w:cs="等线"/>
                <w:sz w:val="21"/>
                <w:szCs w:val="21"/>
              </w:rPr>
              <w:t>0～360º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方位角测量精度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ascii="宋体" w:hAnsi="宋体" w:eastAsia="宋体" w:cs="等线"/>
                <w:sz w:val="21"/>
                <w:szCs w:val="21"/>
              </w:rPr>
              <w:t>0.06º（1σ）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方位角分辨率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ascii="宋体" w:hAnsi="宋体" w:eastAsia="宋体" w:cs="等线"/>
                <w:sz w:val="21"/>
                <w:szCs w:val="21"/>
              </w:rPr>
              <w:t>0.01º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寻北时间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等线"/>
                <w:sz w:val="21"/>
                <w:szCs w:val="21"/>
              </w:rPr>
              <w:t>≤</w:t>
            </w:r>
            <w:r>
              <w:rPr>
                <w:rFonts w:ascii="宋体" w:hAnsi="宋体" w:eastAsia="宋体" w:cs="等线"/>
                <w:sz w:val="21"/>
                <w:szCs w:val="21"/>
              </w:rPr>
              <w:t>3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首次准备时间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工作温度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－40℃～＋65℃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电池容量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不低于5</w:t>
            </w:r>
            <w:r>
              <w:rPr>
                <w:rFonts w:ascii="宋体" w:hAnsi="宋体" w:eastAsia="宋体" w:cs="宋体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交流输出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不少于2路2</w:t>
            </w:r>
            <w:r>
              <w:rPr>
                <w:rFonts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V交流输出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直流输出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不少于5路直流输出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1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宋体" w:hAnsi="宋体" w:eastAsia="宋体" w:cs="等线"/>
                <w:sz w:val="21"/>
                <w:szCs w:val="21"/>
              </w:rPr>
            </w:pPr>
          </w:p>
        </w:tc>
        <w:tc>
          <w:tcPr>
            <w:tcW w:w="42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充电方式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</w:t>
            </w:r>
          </w:p>
        </w:tc>
      </w:tr>
    </w:tbl>
    <w:p>
      <w:pPr>
        <w:pStyle w:val="4"/>
        <w:jc w:val="center"/>
        <w:rPr>
          <w:rFonts w:ascii="宋体" w:hAnsi="宋体" w:eastAsia="宋体" w:cs="等线"/>
          <w:sz w:val="21"/>
          <w:szCs w:val="21"/>
        </w:rPr>
      </w:pPr>
    </w:p>
    <w:p>
      <w:pPr>
        <w:pStyle w:val="4"/>
        <w:jc w:val="center"/>
        <w:rPr>
          <w:rFonts w:ascii="宋体" w:hAnsi="宋体" w:eastAsia="宋体" w:cs="等线"/>
          <w:sz w:val="21"/>
          <w:szCs w:val="21"/>
        </w:rPr>
      </w:pPr>
    </w:p>
    <w:p>
      <w:pPr>
        <w:pStyle w:val="4"/>
        <w:jc w:val="center"/>
        <w:rPr>
          <w:rFonts w:ascii="宋体" w:hAnsi="宋体" w:eastAsia="宋体" w:cs="等线"/>
          <w:sz w:val="21"/>
          <w:szCs w:val="21"/>
        </w:rPr>
      </w:pPr>
    </w:p>
    <w:p>
      <w:pPr>
        <w:pStyle w:val="4"/>
        <w:jc w:val="center"/>
        <w:rPr>
          <w:rFonts w:ascii="宋体" w:hAnsi="宋体" w:eastAsia="宋体" w:cs="等线"/>
          <w:sz w:val="21"/>
          <w:szCs w:val="21"/>
        </w:rPr>
      </w:pPr>
    </w:p>
    <w:p>
      <w:pPr>
        <w:pStyle w:val="4"/>
        <w:jc w:val="center"/>
        <w:rPr>
          <w:rFonts w:ascii="宋体" w:hAnsi="宋体" w:eastAsia="宋体" w:cs="等线"/>
          <w:sz w:val="21"/>
          <w:szCs w:val="21"/>
        </w:rPr>
      </w:pPr>
      <w:r>
        <w:rPr>
          <w:rFonts w:hint="eastAsia" w:ascii="宋体" w:hAnsi="宋体" w:eastAsia="宋体" w:cs="等线"/>
          <w:sz w:val="21"/>
          <w:szCs w:val="21"/>
        </w:rPr>
        <w:t xml:space="preserve">表 </w:t>
      </w:r>
      <w:r>
        <w:rPr>
          <w:rFonts w:ascii="宋体" w:hAnsi="宋体" w:eastAsia="宋体" w:cs="等线"/>
          <w:sz w:val="21"/>
          <w:szCs w:val="21"/>
        </w:rPr>
        <w:t>2</w:t>
      </w:r>
      <w:r>
        <w:rPr>
          <w:rFonts w:hint="eastAsia" w:ascii="宋体" w:hAnsi="宋体" w:eastAsia="宋体" w:cs="等线"/>
          <w:sz w:val="21"/>
          <w:szCs w:val="21"/>
        </w:rPr>
        <w:t xml:space="preserve"> 智能电源控制器（核心设备）指标及要求</w:t>
      </w:r>
    </w:p>
    <w:tbl>
      <w:tblPr>
        <w:tblStyle w:val="8"/>
        <w:tblW w:w="8818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689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供电输入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支持1路220伏交流输入，交流电压150伏至260伏可工作，具备保护功能；支持1路800W太阳能输入，提供1组外置太阳能控制器；支持2路DC12V蓄电池组输入。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882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89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供电输出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路独立模块化直流供电输出(单路供电功能不受他路故障影响)，其中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1-6路供电输出电压12.0V～12.5V(每路独立输出功率不低于100W)，7-8路输出电压通过软件可远程无极调节，调节范围3.3V-52V(额定功率150W，峰值功率200W)，可通过软件实现7-8路的备份供电</w:t>
            </w: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，接口为栅栏式接线端子（罩盖，每路两个端子）或航空插头（2芯，1正2负）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2路用于蓄电池组充电，每路充电功率≥450W，接口为栅栏式接线端子（罩盖）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可设定、修改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6路输出负载的名称并存储。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可自动侦测网络是否通畅后自动重启指定供电输出。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旁路输出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具备交流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和</w:t>
            </w: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太阳能直接向设备供直流12V电的能力。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89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输出干扰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要求满足以下两种中任意一种即可：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要求一：输出电压纹波≤输出电压的0.5%（按照RMS计算），输出电压噪声≤输出电压的1%（按照均方根值计算）。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要求二：在无法明确区分输出纹波及噪声的情况下，纹波与噪声的总合成值≤输出电压的2%（按照均方根值计算）。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不能存在方波及尖峰脉冲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充电能力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支持交流及太阳能充电，充电优先级可选；支持多类型蓄电池，每路充电电流10A～35A现场可调，可根据蓄电池类型（默认铅酸）远程设置充电策略，具备过充电、过放电自动保护。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szCs w:val="21"/>
              </w:rPr>
              <w:t>支持对过放后电池充电，最低可充电池电压</w:t>
            </w:r>
            <w:r>
              <w:rPr>
                <w:rFonts w:ascii="宋体" w:hAnsi="宋体" w:eastAsia="宋体" w:cs="等线"/>
                <w:color w:val="000000"/>
                <w:szCs w:val="21"/>
              </w:rPr>
              <w:t>3V</w:t>
            </w:r>
            <w:r>
              <w:rPr>
                <w:rFonts w:hint="eastAsia" w:ascii="宋体" w:hAnsi="宋体" w:eastAsia="宋体" w:cs="等线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动态响应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当负载在20%～100% 变化时或当交流供电在150V～260VAC变化时，输出电压调整至稳定值的时间≤200μs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过流保护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输出电流≥额定输出电流的130%，停止供电并报警，过流故障排除后可自动恢复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过压保护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输出电压≥额定输出电压的150%，停止供电并报警，采取锁死保护，过压故障排除后可自动恢复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欠压保护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当用于供电的蓄电池电压值低于11.5V时告警，低于11V时停止供电，电压恢复到12V后，自动恢复供电。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反接保护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电池或光伏反接时，停止供电充电，发出报警，正常接线后恢复正常工作。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过温保护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电源温度影响正常工作时报警，电源采取保护措施，温度正常后自动恢复工作。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环境监控接口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提供2个RS485接口(用于接入2个温湿度及1个气压传感器等)；8个DI接口（1#门禁、2#烟感、3#水浸、4#红外，5#-8#为预留接口，欧式端子）；4个</w:t>
            </w:r>
            <w:r>
              <w:rPr>
                <w:rFonts w:hint="eastAsia" w:ascii="宋体" w:hAnsi="宋体" w:eastAsia="宋体" w:cs="等线"/>
                <w:kern w:val="0"/>
                <w:szCs w:val="21"/>
                <w:lang w:bidi="ar"/>
              </w:rPr>
              <w:t>DO接口（欧式端子，远程可控，最大输出电流1A，输出电压12V），均为插拔式接线端子；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89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动力环境监测探头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温度探头（2套）:量程-40℃～80℃，精度优于±0.1℃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湿度探头（2套）：相对湿度量程0～100%，分辨力高于0.1%RH，精度优于±2%RH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气压探头(1套）:量程300hPa~1100hPa，综合精度优于0.5%FS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门磁探头（1套）：感应距离优于 1.5厘米</w:t>
            </w:r>
            <w:r>
              <w:rPr>
                <w:rStyle w:val="10"/>
                <w:rFonts w:hint="default" w:ascii="宋体" w:hAnsi="宋体" w:eastAsia="宋体" w:cs="等线"/>
                <w:sz w:val="21"/>
                <w:szCs w:val="21"/>
                <w:lang w:bidi="ar"/>
              </w:rPr>
              <w:t>；直流12伏供电；开关量输出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restart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szCs w:val="21"/>
              </w:rPr>
              <w:t>14</w:t>
            </w: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烟感探头（1套）：直流12</w:t>
            </w:r>
            <w:r>
              <w:rPr>
                <w:rStyle w:val="10"/>
                <w:rFonts w:hint="default" w:ascii="宋体" w:hAnsi="宋体" w:eastAsia="宋体" w:cs="等线"/>
                <w:sz w:val="21"/>
                <w:szCs w:val="21"/>
                <w:lang w:bidi="ar"/>
              </w:rPr>
              <w:t>伏供电；探测半径优于7.5米；开关量输出。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水浸探头（1套）：电极式，灵敏度0-50K无级调节；响应时间小于1秒；直流12伏供电；开关量输出。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szCs w:val="21"/>
              </w:rPr>
              <w:t>15</w:t>
            </w: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红外探头（1套）：探测角度90度；探测距离不低于8米；直流12伏供电；开关量输出。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szCs w:val="21"/>
              </w:rPr>
              <w:t>16</w:t>
            </w:r>
          </w:p>
        </w:tc>
        <w:tc>
          <w:tcPr>
            <w:tcW w:w="1689" w:type="dxa"/>
            <w:vMerge w:val="continue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单节电池健康状态监测探头（6个）：电压、温度、内阻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电源集成管理软件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提供集成管理软件，实现所供全部电源参数的设置、远程控制、系统升级等功能，可以读取单个单元的参数，实时显示选定电源动环监测数据，异常报警，具备历史曲线回放，用户分级管理等功能。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单机客户端软件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提供单机客户端软件，可以安装在笔记本电脑或手机等移动客户端上，实现对电源参数的设置与读取，查看动环监测数据，现场控制等。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89" w:type="dxa"/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通讯协议</w:t>
            </w:r>
          </w:p>
        </w:tc>
        <w:tc>
          <w:tcPr>
            <w:tcW w:w="6247" w:type="dxa"/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支持《智能电源监控通信协议》。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网络接口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1个RJ45自适应网络接口；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授时方式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支持NTP网络授时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参数设置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具备远程或现场查看及更改设备网络、报警阈值、台站信息等参数的功能。修改参数及时生效，无需重启设备，且断电后保持。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状态信息上传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主动传输各项运行状态监测数据，包含但不限于：交流电压、充电电压电流、负载电压电流、光伏状态、温湿度、气压、电池健康状态（单节电池电压、温度、内阻）等。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报警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状态信息的报警阈值可设置，超出报警阈值后具备本地声音报警及报警信息的远程上传功能。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运行日志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包括参数设置、异常信息、报警信息、操作控制信息等；至少保存近90天的运行日志。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固件升级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支持现场及远程升级。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平均故障间隔时间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整机50000小时以上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防护等级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IP31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环境适应性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设备工作温度：-20℃～55℃；</w:t>
            </w:r>
          </w:p>
          <w:p>
            <w:pPr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工作湿度：10～98%（无凝结）。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2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89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外形尺寸</w:t>
            </w:r>
          </w:p>
        </w:tc>
        <w:tc>
          <w:tcPr>
            <w:tcW w:w="6247" w:type="dxa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等线"/>
                <w:color w:val="000000"/>
                <w:szCs w:val="21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标准机架式安装产品，</w:t>
            </w:r>
            <w:r>
              <w:rPr>
                <w:rStyle w:val="10"/>
                <w:rFonts w:hint="default" w:ascii="宋体" w:hAnsi="宋体" w:eastAsia="宋体" w:cs="等线"/>
                <w:sz w:val="21"/>
                <w:szCs w:val="21"/>
                <w:lang w:bidi="ar"/>
              </w:rPr>
              <w:t>高不大于4U，深度不超过500毫米。</w:t>
            </w:r>
          </w:p>
        </w:tc>
      </w:tr>
    </w:tbl>
    <w:p>
      <w:pPr>
        <w:jc w:val="both"/>
        <w:rPr>
          <w:rFonts w:hint="eastAsia" w:ascii="宋体" w:hAnsi="宋体" w:eastAsia="宋体"/>
        </w:rPr>
      </w:pPr>
      <w:r>
        <w:br w:type="page"/>
      </w:r>
      <w:r>
        <w:rPr>
          <w:rFonts w:hint="eastAsia" w:ascii="宋体" w:hAnsi="宋体" w:eastAsia="宋体"/>
        </w:rPr>
        <w:t>表3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现场人员工具包（防风防晒，含工具及现场维护照明用具）、羽绒睡袋</w:t>
      </w:r>
    </w:p>
    <w:p>
      <w:pPr>
        <w:ind w:firstLine="420"/>
        <w:rPr>
          <w:rFonts w:hint="eastAsia" w:ascii="宋体" w:hAnsi="宋体" w:eastAsia="宋体" w:cs="宋体"/>
          <w:szCs w:val="21"/>
          <w:shd w:val="clear" w:color="auto" w:fill="FFFFFF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每套现场人员工具包详单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tbl>
      <w:tblPr>
        <w:tblStyle w:val="8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8"/>
        <w:gridCol w:w="692"/>
        <w:gridCol w:w="2163"/>
        <w:gridCol w:w="3328"/>
        <w:gridCol w:w="731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序号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名称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规格型号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单位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万用表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规格：技术规格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交流电压（40Hz到500Hz）：量程自适应最大1000V 精度1.0%+3。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直流电压：量程自适应最大1000V 精度0.5%+3。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交流毫伏量程400mV；直流毫伏量程400mV；交直流毫安量程400mA；交直流电流量程10A；交直流微安量程4000uA；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电阻量程40兆欧；电容量程1000uF；有屏幕背光灯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2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组合螺丝刀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规格：一字3mm、5mm、6.0mm；十字：#0、#1、#2；加力手柄；尖针；自攻螺丝锥M3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3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钟表起子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规格：一字1.4mm、2.0mm、2.4mm，十字PH00、PH0、PH1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4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内六方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9件加长球头内六角规格：1.5,2,2.5,3,4,5,6,8,10mm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5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老虎钳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规格：7寸花齿钢丝钳；刃口硬度：HRC52-HRC62；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钳体硬度：HRC44-HRC50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6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尖嘴钳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规格：钳体硬度：HRC44-HRC50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7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斜口钳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规格：56寸斜口钳，最大剪切能力不低于铜丝2.6mm、铁丝2.4mm、硬钢丝2.0mm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8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剥线钳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规格：硬度HRC:50+-3剥线范围：AWG:20,18,16,14,12,10/0.8,1.0,1.3,1.6,2.0,2.6mm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9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网线钳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规格：实现操作功能：8P8C/RJ45;6P2C/6P4C/6P6C;RJ11/RJ12;RJ-22 4P2C/4P4C接头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10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汽烙铁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标准版、方便携带户外焊接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11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电烙铁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40W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12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活动扳手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6寸 、</w:t>
            </w:r>
            <w:r>
              <w:rPr>
                <w:rFonts w:ascii="宋体" w:hAnsi="宋体" w:eastAsia="宋体" w:cs="宋体"/>
                <w:color w:val="35353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8寸、</w:t>
            </w:r>
            <w:r>
              <w:rPr>
                <w:rFonts w:ascii="宋体" w:hAnsi="宋体" w:eastAsia="宋体" w:cs="宋体"/>
                <w:color w:val="35353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10寸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13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地质罗盘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5秒定向、防水、荧光表盘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14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镊子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直头12.5mm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15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钢板尺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50cm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16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卷尺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规格：5m*19mm，双面刻度，精度优于国标II级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把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17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精密锉刀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3X140MMX6PCS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18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焊锡丝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0.8mm 50g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卷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19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照明工具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功率10W；强光续航3~6小时；T6LED灯珠；远近双光源；USB智能充电；90°卡轮角度调节，机械式旋转变焦；防水。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个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20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工具包</w:t>
            </w:r>
          </w:p>
        </w:tc>
        <w:tc>
          <w:tcPr>
            <w:tcW w:w="54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规格：18寸多功能双肩工具包包。可放15.6寸笔记本电脑、五金工具；加厚内衬，耐磨损，有效防止尖锐物的穿刺，防风防晒。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个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88" w:type="dxa"/>
            <w:gridSpan w:val="7"/>
            <w:noWrap w:val="0"/>
            <w:vAlign w:val="top"/>
          </w:tcPr>
          <w:p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户外羽绒睡袋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指标名称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填充物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鹅绒或鸭绒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面料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防泼水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含绒量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不低于1000g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蓬松度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不低于650+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8" w:type="dxa"/>
            <w:gridSpan w:val="2"/>
            <w:noWrap w:val="0"/>
            <w:vAlign w:val="top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使用温度</w:t>
            </w:r>
          </w:p>
        </w:tc>
        <w:tc>
          <w:tcPr>
            <w:tcW w:w="4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低于-10℃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中标供应商应提供两年的售后服务。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59A8C"/>
    <w:multiLevelType w:val="singleLevel"/>
    <w:tmpl w:val="8E459A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E2B37"/>
    <w:multiLevelType w:val="multilevel"/>
    <w:tmpl w:val="50DE2B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F5C85"/>
    <w:multiLevelType w:val="multilevel"/>
    <w:tmpl w:val="7F3F5C8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zEwNjE3OGJmMGMzZDQ1ZmNkMTM5YzQ0YTM5MjEifQ=="/>
  </w:docVars>
  <w:rsids>
    <w:rsidRoot w:val="00000000"/>
    <w:rsid w:val="5BC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firstLine="200" w:firstLineChars="200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5">
    <w:name w:val="Body Text"/>
    <w:basedOn w:val="1"/>
    <w:unhideWhenUsed/>
    <w:uiPriority w:val="99"/>
    <w:pPr>
      <w:spacing w:after="120"/>
    </w:pPr>
  </w:style>
  <w:style w:type="paragraph" w:styleId="6">
    <w:name w:val="toc 6"/>
    <w:basedOn w:val="1"/>
    <w:next w:val="1"/>
    <w:unhideWhenUsed/>
    <w:qFormat/>
    <w:uiPriority w:val="39"/>
    <w:pPr>
      <w:ind w:left="1050"/>
      <w:jc w:val="left"/>
    </w:pPr>
    <w:rPr>
      <w:rFonts w:ascii="Times New Roman" w:hAnsi="Times New Roman" w:eastAsia="宋体"/>
      <w:szCs w:val="21"/>
    </w:rPr>
  </w:style>
  <w:style w:type="paragraph" w:styleId="7">
    <w:name w:val="Body Text First Indent"/>
    <w:basedOn w:val="5"/>
    <w:next w:val="6"/>
    <w:unhideWhenUsed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character" w:customStyle="1" w:styleId="10">
    <w:name w:val="font5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2024-06-24T09:41:03Z</dcterms:created>
  <dc:creator>luckty</dc:creator>
  <cp:lastModifiedBy>Charon</cp:lastModifiedBy>
  <dcterms:modified xsi:type="dcterms:W3CDTF">2024-06-24T09:44:14Z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D0D0FDA46FA44B4DB5A4887F2D723FDC_12</vt:lpwstr>
  </property>
</Properties>
</file>