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DC424">
      <w:pPr>
        <w:spacing w:before="75" w:line="235" w:lineRule="auto"/>
        <w:ind w:left="138"/>
        <w:rPr>
          <w:rFonts w:ascii="方正小标宋_GBK" w:hAnsi="方正小标宋_GBK" w:eastAsia="方正小标宋_GBK" w:cs="方正小标宋_GBK"/>
          <w:sz w:val="31"/>
          <w:szCs w:val="31"/>
        </w:rPr>
      </w:pPr>
      <w:r>
        <w:rPr>
          <w:rFonts w:ascii="方正小标宋_GBK" w:hAnsi="方正小标宋_GBK" w:eastAsia="方正小标宋_GBK" w:cs="方正小标宋_GBK"/>
          <w:spacing w:val="-5"/>
          <w:sz w:val="31"/>
          <w:szCs w:val="31"/>
        </w:rPr>
        <w:t>1</w:t>
      </w:r>
      <w:r>
        <w:rPr>
          <w:rFonts w:ascii="方正小标宋_GBK" w:hAnsi="方正小标宋_GBK" w:eastAsia="方正小标宋_GBK" w:cs="方正小标宋_GBK"/>
          <w:spacing w:val="-30"/>
          <w:sz w:val="31"/>
          <w:szCs w:val="31"/>
        </w:rPr>
        <w:t xml:space="preserve"> </w:t>
      </w:r>
      <w:r>
        <w:rPr>
          <w:rFonts w:ascii="方正小标宋_GBK" w:hAnsi="方正小标宋_GBK" w:eastAsia="方正小标宋_GBK" w:cs="方正小标宋_GBK"/>
          <w:spacing w:val="-5"/>
          <w:sz w:val="31"/>
          <w:szCs w:val="31"/>
        </w:rPr>
        <w:t>、</w:t>
      </w:r>
      <w:r>
        <w:rPr>
          <w:rFonts w:ascii="方正小标宋_GBK" w:hAnsi="方正小标宋_GBK" w:eastAsia="方正小标宋_GBK" w:cs="方正小标宋_GBK"/>
          <w:spacing w:val="16"/>
          <w:sz w:val="31"/>
          <w:szCs w:val="31"/>
        </w:rPr>
        <w:t xml:space="preserve">    </w:t>
      </w:r>
      <w:r>
        <w:rPr>
          <w:rFonts w:ascii="方正小标宋_GBK" w:hAnsi="方正小标宋_GBK" w:eastAsia="方正小标宋_GBK" w:cs="方正小标宋_GBK"/>
          <w:spacing w:val="-5"/>
          <w:sz w:val="31"/>
          <w:szCs w:val="31"/>
        </w:rPr>
        <w:t>资格审查：</w:t>
      </w:r>
    </w:p>
    <w:p w14:paraId="09BB6B42">
      <w:pPr>
        <w:spacing w:before="8"/>
      </w:pPr>
    </w:p>
    <w:p w14:paraId="188A85E9">
      <w:pPr>
        <w:spacing w:before="8"/>
      </w:pPr>
    </w:p>
    <w:tbl>
      <w:tblPr>
        <w:tblStyle w:val="5"/>
        <w:tblW w:w="106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9679"/>
      </w:tblGrid>
      <w:tr w14:paraId="5C2DC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1008" w:type="dxa"/>
            <w:vAlign w:val="top"/>
          </w:tcPr>
          <w:p w14:paraId="31E3F1B2">
            <w:pPr>
              <w:pStyle w:val="6"/>
              <w:spacing w:before="191" w:line="222" w:lineRule="auto"/>
              <w:ind w:left="120"/>
            </w:pPr>
            <w:r>
              <w:rPr>
                <w:spacing w:val="2"/>
              </w:rPr>
              <w:t>评价</w:t>
            </w:r>
          </w:p>
          <w:p w14:paraId="2A8D5479">
            <w:pPr>
              <w:pStyle w:val="6"/>
              <w:spacing w:before="202" w:line="224" w:lineRule="auto"/>
              <w:ind w:left="124"/>
            </w:pPr>
            <w:r>
              <w:t>项目</w:t>
            </w:r>
          </w:p>
        </w:tc>
        <w:tc>
          <w:tcPr>
            <w:tcW w:w="9679" w:type="dxa"/>
            <w:vAlign w:val="top"/>
          </w:tcPr>
          <w:p w14:paraId="2B9B717E">
            <w:pPr>
              <w:spacing w:line="376" w:lineRule="auto"/>
              <w:rPr>
                <w:rFonts w:ascii="Arial"/>
                <w:sz w:val="21"/>
              </w:rPr>
            </w:pPr>
          </w:p>
          <w:p w14:paraId="5ABE05C9">
            <w:pPr>
              <w:pStyle w:val="6"/>
              <w:spacing w:before="100" w:line="222" w:lineRule="auto"/>
              <w:ind w:left="777"/>
            </w:pPr>
            <w:r>
              <w:rPr>
                <w:spacing w:val="5"/>
              </w:rPr>
              <w:t>审查因素及内容</w:t>
            </w:r>
          </w:p>
        </w:tc>
      </w:tr>
      <w:tr w14:paraId="00B51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8" w:hRule="atLeast"/>
        </w:trPr>
        <w:tc>
          <w:tcPr>
            <w:tcW w:w="1008" w:type="dxa"/>
            <w:vAlign w:val="top"/>
          </w:tcPr>
          <w:p w14:paraId="295DE655">
            <w:pPr>
              <w:spacing w:line="245" w:lineRule="auto"/>
              <w:rPr>
                <w:rFonts w:ascii="Arial"/>
                <w:sz w:val="21"/>
              </w:rPr>
            </w:pPr>
          </w:p>
          <w:p w14:paraId="723C6F74">
            <w:pPr>
              <w:spacing w:line="245" w:lineRule="auto"/>
              <w:rPr>
                <w:rFonts w:ascii="Arial"/>
                <w:sz w:val="21"/>
              </w:rPr>
            </w:pPr>
          </w:p>
          <w:p w14:paraId="1F9300E7">
            <w:pPr>
              <w:spacing w:line="245" w:lineRule="auto"/>
              <w:rPr>
                <w:rFonts w:ascii="Arial"/>
                <w:sz w:val="21"/>
              </w:rPr>
            </w:pPr>
          </w:p>
          <w:p w14:paraId="12F71BF6">
            <w:pPr>
              <w:spacing w:line="245" w:lineRule="auto"/>
              <w:rPr>
                <w:rFonts w:ascii="Arial"/>
                <w:sz w:val="21"/>
              </w:rPr>
            </w:pPr>
          </w:p>
          <w:p w14:paraId="093B317D">
            <w:pPr>
              <w:spacing w:line="245" w:lineRule="auto"/>
              <w:rPr>
                <w:rFonts w:ascii="Arial"/>
                <w:sz w:val="21"/>
              </w:rPr>
            </w:pPr>
          </w:p>
          <w:p w14:paraId="69DB830F">
            <w:pPr>
              <w:spacing w:line="245" w:lineRule="auto"/>
              <w:rPr>
                <w:rFonts w:ascii="Arial"/>
                <w:sz w:val="21"/>
              </w:rPr>
            </w:pPr>
          </w:p>
          <w:p w14:paraId="288C0D31">
            <w:pPr>
              <w:spacing w:line="245" w:lineRule="auto"/>
              <w:rPr>
                <w:rFonts w:ascii="Arial"/>
                <w:sz w:val="21"/>
              </w:rPr>
            </w:pPr>
          </w:p>
          <w:p w14:paraId="2812AB4F">
            <w:pPr>
              <w:spacing w:line="245" w:lineRule="auto"/>
              <w:rPr>
                <w:rFonts w:ascii="Arial"/>
                <w:sz w:val="21"/>
              </w:rPr>
            </w:pPr>
          </w:p>
          <w:p w14:paraId="6D16C461">
            <w:pPr>
              <w:spacing w:line="245" w:lineRule="auto"/>
              <w:rPr>
                <w:rFonts w:ascii="Arial"/>
                <w:sz w:val="21"/>
              </w:rPr>
            </w:pPr>
          </w:p>
          <w:p w14:paraId="36EDA74D">
            <w:pPr>
              <w:spacing w:line="245" w:lineRule="auto"/>
              <w:rPr>
                <w:rFonts w:ascii="Arial"/>
                <w:sz w:val="21"/>
              </w:rPr>
            </w:pPr>
          </w:p>
          <w:p w14:paraId="4C5C341D">
            <w:pPr>
              <w:spacing w:line="245" w:lineRule="auto"/>
              <w:rPr>
                <w:rFonts w:ascii="Arial"/>
                <w:sz w:val="21"/>
              </w:rPr>
            </w:pPr>
          </w:p>
          <w:p w14:paraId="4483DD95">
            <w:pPr>
              <w:spacing w:line="245" w:lineRule="auto"/>
              <w:rPr>
                <w:rFonts w:ascii="Arial"/>
                <w:sz w:val="21"/>
              </w:rPr>
            </w:pPr>
          </w:p>
          <w:p w14:paraId="33B2D3C4">
            <w:pPr>
              <w:spacing w:line="246" w:lineRule="auto"/>
              <w:rPr>
                <w:rFonts w:ascii="Arial"/>
                <w:sz w:val="21"/>
              </w:rPr>
            </w:pPr>
          </w:p>
          <w:p w14:paraId="1C4C3719">
            <w:pPr>
              <w:spacing w:line="246" w:lineRule="auto"/>
              <w:rPr>
                <w:rFonts w:ascii="Arial"/>
                <w:sz w:val="21"/>
              </w:rPr>
            </w:pPr>
          </w:p>
          <w:p w14:paraId="18923169">
            <w:pPr>
              <w:spacing w:line="246" w:lineRule="auto"/>
              <w:rPr>
                <w:rFonts w:ascii="Arial"/>
                <w:sz w:val="21"/>
              </w:rPr>
            </w:pPr>
          </w:p>
          <w:p w14:paraId="240519C9">
            <w:pPr>
              <w:spacing w:line="246" w:lineRule="auto"/>
              <w:rPr>
                <w:rFonts w:ascii="Arial"/>
                <w:sz w:val="21"/>
              </w:rPr>
            </w:pPr>
          </w:p>
          <w:p w14:paraId="7A0F14DE">
            <w:pPr>
              <w:spacing w:line="246" w:lineRule="auto"/>
              <w:rPr>
                <w:rFonts w:ascii="Arial"/>
                <w:sz w:val="21"/>
              </w:rPr>
            </w:pPr>
          </w:p>
          <w:p w14:paraId="5A9428FE">
            <w:pPr>
              <w:spacing w:line="246" w:lineRule="auto"/>
              <w:rPr>
                <w:rFonts w:ascii="Arial"/>
                <w:sz w:val="21"/>
              </w:rPr>
            </w:pPr>
          </w:p>
          <w:p w14:paraId="48A5C6B3">
            <w:pPr>
              <w:spacing w:line="246" w:lineRule="auto"/>
              <w:rPr>
                <w:rFonts w:ascii="Arial"/>
                <w:sz w:val="21"/>
              </w:rPr>
            </w:pPr>
          </w:p>
          <w:p w14:paraId="3FB0964B">
            <w:pPr>
              <w:pStyle w:val="6"/>
              <w:spacing w:before="101" w:line="344" w:lineRule="auto"/>
              <w:ind w:left="117" w:right="256" w:firstLine="16"/>
              <w:jc w:val="both"/>
            </w:pPr>
            <w:r>
              <w:rPr>
                <w:spacing w:val="-4"/>
              </w:rPr>
              <w:t>资格</w:t>
            </w:r>
            <w:r>
              <w:rPr>
                <w:spacing w:val="4"/>
              </w:rPr>
              <w:t>审查标准</w:t>
            </w:r>
          </w:p>
        </w:tc>
        <w:tc>
          <w:tcPr>
            <w:tcW w:w="9679" w:type="dxa"/>
            <w:vAlign w:val="top"/>
          </w:tcPr>
          <w:p w14:paraId="3A4CFC82">
            <w:pPr>
              <w:pStyle w:val="6"/>
              <w:spacing w:before="185" w:line="222" w:lineRule="auto"/>
              <w:ind w:left="776"/>
            </w:pPr>
            <w:r>
              <w:rPr>
                <w:spacing w:val="8"/>
              </w:rPr>
              <w:t>1、满足《中华人民共和国政府采购法》第二十二条规定；</w:t>
            </w:r>
          </w:p>
          <w:p w14:paraId="09EA6734">
            <w:pPr>
              <w:pStyle w:val="6"/>
              <w:spacing w:before="203" w:line="343" w:lineRule="auto"/>
              <w:ind w:left="123" w:right="134" w:firstLine="625"/>
            </w:pPr>
            <w:r>
              <w:rPr>
                <w:spacing w:val="7"/>
              </w:rPr>
              <w:t>（</w:t>
            </w:r>
            <w:r>
              <w:rPr>
                <w:spacing w:val="-79"/>
              </w:rPr>
              <w:t xml:space="preserve"> </w:t>
            </w:r>
            <w:r>
              <w:rPr>
                <w:spacing w:val="7"/>
              </w:rPr>
              <w:t>1）具有独立承担民事责任的能力（提供合法</w:t>
            </w:r>
            <w:r>
              <w:rPr>
                <w:spacing w:val="6"/>
              </w:rPr>
              <w:t>有效的法人营业</w:t>
            </w:r>
            <w:r>
              <w:rPr>
                <w:spacing w:val="21"/>
              </w:rPr>
              <w:t>执照</w:t>
            </w:r>
            <w:r>
              <w:rPr>
                <w:spacing w:val="-81"/>
              </w:rPr>
              <w:t>）；</w:t>
            </w:r>
          </w:p>
          <w:p w14:paraId="5427D272">
            <w:pPr>
              <w:pStyle w:val="6"/>
              <w:spacing w:before="4" w:line="342" w:lineRule="auto"/>
              <w:ind w:left="141" w:right="134" w:firstLine="606"/>
            </w:pPr>
            <w:r>
              <w:rPr>
                <w:spacing w:val="7"/>
              </w:rPr>
              <w:t>（</w:t>
            </w:r>
            <w:r>
              <w:rPr>
                <w:spacing w:val="-86"/>
              </w:rPr>
              <w:t xml:space="preserve"> </w:t>
            </w:r>
            <w:r>
              <w:rPr>
                <w:spacing w:val="7"/>
              </w:rPr>
              <w:t>2）具有良好的商业信誉和健全的财务会计制度（提供经会计</w:t>
            </w:r>
            <w:r>
              <w:rPr>
                <w:spacing w:val="8"/>
              </w:rPr>
              <w:t>师事务所审计的财务审计报告/财务报表/财务会计制度或工商部门</w:t>
            </w:r>
            <w:r>
              <w:rPr>
                <w:spacing w:val="5"/>
              </w:rPr>
              <w:t>出具的其他证明材料</w:t>
            </w:r>
            <w:r>
              <w:rPr>
                <w:spacing w:val="-73"/>
              </w:rPr>
              <w:t>）；</w:t>
            </w:r>
          </w:p>
          <w:p w14:paraId="23201063">
            <w:pPr>
              <w:pStyle w:val="6"/>
              <w:spacing w:line="221" w:lineRule="auto"/>
              <w:jc w:val="right"/>
            </w:pPr>
            <w:r>
              <w:rPr>
                <w:spacing w:val="-4"/>
              </w:rPr>
              <w:t>（</w:t>
            </w:r>
            <w:r>
              <w:rPr>
                <w:spacing w:val="-71"/>
              </w:rPr>
              <w:t xml:space="preserve"> </w:t>
            </w:r>
            <w:r>
              <w:rPr>
                <w:spacing w:val="-4"/>
              </w:rPr>
              <w:t>3）具有履行合同所必需的设备和专业技术能力（提供承</w:t>
            </w:r>
            <w:r>
              <w:rPr>
                <w:spacing w:val="-5"/>
              </w:rPr>
              <w:t>诺书</w:t>
            </w:r>
            <w:r>
              <w:rPr>
                <w:spacing w:val="-77"/>
                <w:w w:val="88"/>
              </w:rPr>
              <w:t>）；</w:t>
            </w:r>
          </w:p>
          <w:p w14:paraId="56B06D26">
            <w:pPr>
              <w:pStyle w:val="6"/>
              <w:spacing w:before="204" w:line="343" w:lineRule="auto"/>
              <w:ind w:left="124" w:right="134" w:firstLine="624"/>
            </w:pPr>
            <w:r>
              <w:rPr>
                <w:spacing w:val="7"/>
              </w:rPr>
              <w:t>（</w:t>
            </w:r>
            <w:r>
              <w:rPr>
                <w:spacing w:val="-86"/>
              </w:rPr>
              <w:t xml:space="preserve"> </w:t>
            </w:r>
            <w:r>
              <w:rPr>
                <w:spacing w:val="7"/>
              </w:rPr>
              <w:t>4）有依法缴纳税收和社会保障资金的良好记录（提供依法缴</w:t>
            </w:r>
            <w:r>
              <w:rPr>
                <w:spacing w:val="8"/>
              </w:rPr>
              <w:t>纳税收、社保的相关证明材料</w:t>
            </w:r>
            <w:r>
              <w:rPr>
                <w:spacing w:val="-73"/>
              </w:rPr>
              <w:t>）；</w:t>
            </w:r>
          </w:p>
          <w:p w14:paraId="7C41BD63">
            <w:pPr>
              <w:pStyle w:val="6"/>
              <w:spacing w:before="1" w:line="343" w:lineRule="auto"/>
              <w:ind w:left="123" w:right="134" w:firstLine="625"/>
            </w:pPr>
            <w:r>
              <w:rPr>
                <w:spacing w:val="7"/>
              </w:rPr>
              <w:t>（</w:t>
            </w:r>
            <w:r>
              <w:rPr>
                <w:spacing w:val="-82"/>
              </w:rPr>
              <w:t xml:space="preserve"> </w:t>
            </w:r>
            <w:r>
              <w:rPr>
                <w:spacing w:val="7"/>
              </w:rPr>
              <w:t>5）参加政府采购活动前三年内，在经营活动中没有</w:t>
            </w:r>
            <w:r>
              <w:rPr>
                <w:spacing w:val="6"/>
              </w:rPr>
              <w:t>重大违法</w:t>
            </w:r>
            <w:r>
              <w:rPr>
                <w:spacing w:val="9"/>
              </w:rPr>
              <w:t>记录（提供信用中国、中国政府采购网等相关信用网站查询截图</w:t>
            </w:r>
            <w:r>
              <w:rPr>
                <w:spacing w:val="-77"/>
                <w:w w:val="89"/>
              </w:rPr>
              <w:t>）；</w:t>
            </w:r>
          </w:p>
          <w:p w14:paraId="4E5FE14C">
            <w:pPr>
              <w:pStyle w:val="6"/>
              <w:spacing w:line="221" w:lineRule="auto"/>
              <w:ind w:left="748"/>
            </w:pPr>
            <w:r>
              <w:rPr>
                <w:spacing w:val="6"/>
              </w:rPr>
              <w:t>（</w:t>
            </w:r>
            <w:r>
              <w:rPr>
                <w:spacing w:val="-83"/>
              </w:rPr>
              <w:t xml:space="preserve"> </w:t>
            </w:r>
            <w:r>
              <w:rPr>
                <w:spacing w:val="6"/>
              </w:rPr>
              <w:t>6）法律、行政法规规定的其他条件（提供承诺书</w:t>
            </w:r>
            <w:r>
              <w:rPr>
                <w:spacing w:val="-55"/>
              </w:rPr>
              <w:t>）；</w:t>
            </w:r>
          </w:p>
          <w:p w14:paraId="25DF4299">
            <w:pPr>
              <w:pStyle w:val="6"/>
              <w:spacing w:before="206" w:line="222" w:lineRule="auto"/>
              <w:ind w:left="768"/>
            </w:pPr>
            <w:r>
              <w:rPr>
                <w:spacing w:val="7"/>
              </w:rPr>
              <w:t>2、落实政府采购政策需满足的资格要求：</w:t>
            </w:r>
          </w:p>
          <w:p w14:paraId="3E11CA41">
            <w:pPr>
              <w:pStyle w:val="6"/>
              <w:spacing w:before="202" w:line="343" w:lineRule="auto"/>
              <w:ind w:left="119" w:firstLine="626"/>
            </w:pPr>
            <w:r>
              <w:rPr>
                <w:spacing w:val="-9"/>
              </w:rPr>
              <w:t>（</w:t>
            </w:r>
            <w:r>
              <w:rPr>
                <w:spacing w:val="-79"/>
              </w:rPr>
              <w:t xml:space="preserve"> </w:t>
            </w:r>
            <w:r>
              <w:rPr>
                <w:spacing w:val="-9"/>
              </w:rPr>
              <w:t>1）执行《政府采购促进中小企业发展管理办法》（财库</w:t>
            </w:r>
            <w:r>
              <w:rPr>
                <w:spacing w:val="-10"/>
              </w:rPr>
              <w:t>〔2020〕</w:t>
            </w:r>
            <w:r>
              <w:t xml:space="preserve"> </w:t>
            </w:r>
            <w:r>
              <w:rPr>
                <w:spacing w:val="7"/>
              </w:rPr>
              <w:t>46</w:t>
            </w:r>
            <w:r>
              <w:rPr>
                <w:spacing w:val="-48"/>
              </w:rPr>
              <w:t xml:space="preserve"> </w:t>
            </w:r>
            <w:r>
              <w:rPr>
                <w:spacing w:val="7"/>
              </w:rPr>
              <w:t>号）和《财政部关于进一步加大政府采购支持</w:t>
            </w:r>
            <w:r>
              <w:rPr>
                <w:spacing w:val="6"/>
              </w:rPr>
              <w:t>中小企业力度的通</w:t>
            </w:r>
            <w:r>
              <w:rPr>
                <w:spacing w:val="-5"/>
              </w:rPr>
              <w:t>知》（财库〔2022〕19</w:t>
            </w:r>
            <w:r>
              <w:rPr>
                <w:spacing w:val="-52"/>
              </w:rPr>
              <w:t xml:space="preserve"> </w:t>
            </w:r>
            <w:r>
              <w:rPr>
                <w:spacing w:val="-5"/>
              </w:rPr>
              <w:t>号</w:t>
            </w:r>
            <w:r>
              <w:rPr>
                <w:spacing w:val="-79"/>
              </w:rPr>
              <w:t>）；</w:t>
            </w:r>
          </w:p>
          <w:p w14:paraId="4F78177A">
            <w:pPr>
              <w:pStyle w:val="6"/>
              <w:spacing w:line="343" w:lineRule="auto"/>
              <w:ind w:left="129" w:right="131" w:firstLine="619"/>
            </w:pPr>
            <w:r>
              <w:rPr>
                <w:spacing w:val="7"/>
              </w:rPr>
              <w:t>（</w:t>
            </w:r>
            <w:r>
              <w:rPr>
                <w:spacing w:val="-84"/>
              </w:rPr>
              <w:t xml:space="preserve"> </w:t>
            </w:r>
            <w:r>
              <w:rPr>
                <w:spacing w:val="7"/>
              </w:rPr>
              <w:t>2）执行《财政部民政部中国残疾人联合会关于促进残疾人就</w:t>
            </w:r>
            <w:r>
              <w:rPr>
                <w:spacing w:val="1"/>
              </w:rPr>
              <w:t>业政府采购政策的通知》（财库〔2017〕141</w:t>
            </w:r>
            <w:r>
              <w:rPr>
                <w:spacing w:val="-47"/>
              </w:rPr>
              <w:t xml:space="preserve"> </w:t>
            </w:r>
            <w:r>
              <w:rPr>
                <w:spacing w:val="1"/>
              </w:rPr>
              <w:t>号</w:t>
            </w:r>
            <w:r>
              <w:rPr>
                <w:spacing w:val="-77"/>
              </w:rPr>
              <w:t>）；</w:t>
            </w:r>
          </w:p>
          <w:p w14:paraId="14ED93DB">
            <w:pPr>
              <w:pStyle w:val="6"/>
              <w:spacing w:before="1" w:line="222" w:lineRule="auto"/>
              <w:ind w:left="781"/>
            </w:pPr>
            <w:r>
              <w:rPr>
                <w:spacing w:val="6"/>
              </w:rPr>
              <w:t>3、本项目不接受联合体投标。</w:t>
            </w:r>
          </w:p>
        </w:tc>
      </w:tr>
    </w:tbl>
    <w:p w14:paraId="0FF5C9BA">
      <w:pPr>
        <w:rPr>
          <w:rFonts w:ascii="Arial"/>
          <w:sz w:val="21"/>
        </w:rPr>
      </w:pPr>
    </w:p>
    <w:p w14:paraId="40ABDEAF">
      <w:pPr>
        <w:rPr>
          <w:rFonts w:ascii="Arial" w:hAnsi="Arial" w:eastAsia="Arial" w:cs="Arial"/>
          <w:sz w:val="21"/>
          <w:szCs w:val="21"/>
        </w:rPr>
        <w:sectPr>
          <w:footerReference r:id="rId5" w:type="default"/>
          <w:pgSz w:w="11906" w:h="16838"/>
          <w:pgMar w:top="788" w:right="606" w:bottom="1478" w:left="607" w:header="0" w:footer="1199" w:gutter="0"/>
          <w:cols w:space="720" w:num="1"/>
        </w:sectPr>
      </w:pPr>
    </w:p>
    <w:p w14:paraId="7CC339E3">
      <w:pPr>
        <w:spacing w:before="74" w:line="197" w:lineRule="auto"/>
        <w:ind w:left="118"/>
        <w:rPr>
          <w:rFonts w:ascii="方正小标宋_GBK" w:hAnsi="方正小标宋_GBK" w:eastAsia="方正小标宋_GBK" w:cs="方正小标宋_GBK"/>
          <w:sz w:val="31"/>
          <w:szCs w:val="31"/>
        </w:rPr>
      </w:pPr>
      <w:r>
        <w:rPr>
          <w:rFonts w:ascii="方正小标宋_GBK" w:hAnsi="方正小标宋_GBK" w:eastAsia="方正小标宋_GBK" w:cs="方正小标宋_GBK"/>
          <w:spacing w:val="-1"/>
          <w:sz w:val="31"/>
          <w:szCs w:val="31"/>
        </w:rPr>
        <w:t>2</w:t>
      </w:r>
      <w:r>
        <w:rPr>
          <w:rFonts w:ascii="方正小标宋_GBK" w:hAnsi="方正小标宋_GBK" w:eastAsia="方正小标宋_GBK" w:cs="方正小标宋_GBK"/>
          <w:spacing w:val="-29"/>
          <w:sz w:val="31"/>
          <w:szCs w:val="31"/>
        </w:rPr>
        <w:t xml:space="preserve"> </w:t>
      </w:r>
      <w:r>
        <w:rPr>
          <w:rFonts w:ascii="方正小标宋_GBK" w:hAnsi="方正小标宋_GBK" w:eastAsia="方正小标宋_GBK" w:cs="方正小标宋_GBK"/>
          <w:spacing w:val="-1"/>
          <w:sz w:val="31"/>
          <w:szCs w:val="31"/>
        </w:rPr>
        <w:t>、</w:t>
      </w:r>
      <w:r>
        <w:rPr>
          <w:rFonts w:ascii="方正小标宋_GBK" w:hAnsi="方正小标宋_GBK" w:eastAsia="方正小标宋_GBK" w:cs="方正小标宋_GBK"/>
          <w:spacing w:val="16"/>
          <w:sz w:val="31"/>
          <w:szCs w:val="31"/>
        </w:rPr>
        <w:t xml:space="preserve">    </w:t>
      </w:r>
      <w:r>
        <w:rPr>
          <w:rFonts w:ascii="方正小标宋_GBK" w:hAnsi="方正小标宋_GBK" w:eastAsia="方正小标宋_GBK" w:cs="方正小标宋_GBK"/>
          <w:spacing w:val="-1"/>
          <w:sz w:val="31"/>
          <w:szCs w:val="31"/>
        </w:rPr>
        <w:t>符合性审查</w:t>
      </w:r>
    </w:p>
    <w:tbl>
      <w:tblPr>
        <w:tblStyle w:val="5"/>
        <w:tblW w:w="106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6"/>
        <w:gridCol w:w="1744"/>
        <w:gridCol w:w="7197"/>
      </w:tblGrid>
      <w:tr w14:paraId="10F95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746" w:type="dxa"/>
            <w:vMerge w:val="restart"/>
            <w:tcBorders>
              <w:bottom w:val="nil"/>
            </w:tcBorders>
            <w:vAlign w:val="top"/>
          </w:tcPr>
          <w:p w14:paraId="11566084">
            <w:pPr>
              <w:spacing w:line="244" w:lineRule="auto"/>
              <w:rPr>
                <w:rFonts w:ascii="Arial"/>
                <w:sz w:val="21"/>
              </w:rPr>
            </w:pPr>
          </w:p>
          <w:p w14:paraId="7DB51C10">
            <w:pPr>
              <w:spacing w:line="244" w:lineRule="auto"/>
              <w:rPr>
                <w:rFonts w:ascii="Arial"/>
                <w:sz w:val="21"/>
              </w:rPr>
            </w:pPr>
          </w:p>
          <w:p w14:paraId="312DE7E8">
            <w:pPr>
              <w:spacing w:line="244" w:lineRule="auto"/>
              <w:rPr>
                <w:rFonts w:ascii="Arial"/>
                <w:sz w:val="21"/>
              </w:rPr>
            </w:pPr>
          </w:p>
          <w:p w14:paraId="5854DC8E">
            <w:pPr>
              <w:spacing w:line="244" w:lineRule="auto"/>
              <w:rPr>
                <w:rFonts w:ascii="Arial"/>
                <w:sz w:val="21"/>
              </w:rPr>
            </w:pPr>
          </w:p>
          <w:p w14:paraId="3599016A">
            <w:pPr>
              <w:spacing w:line="244" w:lineRule="auto"/>
              <w:rPr>
                <w:rFonts w:ascii="Arial"/>
                <w:sz w:val="21"/>
              </w:rPr>
            </w:pPr>
          </w:p>
          <w:p w14:paraId="541C5821">
            <w:pPr>
              <w:spacing w:line="244" w:lineRule="auto"/>
              <w:rPr>
                <w:rFonts w:ascii="Arial"/>
                <w:sz w:val="21"/>
              </w:rPr>
            </w:pPr>
          </w:p>
          <w:p w14:paraId="6C2554A2">
            <w:pPr>
              <w:spacing w:line="244" w:lineRule="auto"/>
              <w:rPr>
                <w:rFonts w:ascii="Arial"/>
                <w:sz w:val="21"/>
              </w:rPr>
            </w:pPr>
          </w:p>
          <w:p w14:paraId="62228F25">
            <w:pPr>
              <w:spacing w:line="245" w:lineRule="auto"/>
              <w:rPr>
                <w:rFonts w:ascii="Arial"/>
                <w:sz w:val="21"/>
              </w:rPr>
            </w:pPr>
          </w:p>
          <w:p w14:paraId="77565243">
            <w:pPr>
              <w:spacing w:line="245" w:lineRule="auto"/>
              <w:rPr>
                <w:rFonts w:ascii="Arial"/>
                <w:sz w:val="21"/>
              </w:rPr>
            </w:pPr>
          </w:p>
          <w:p w14:paraId="4AD20554">
            <w:pPr>
              <w:spacing w:line="245" w:lineRule="auto"/>
              <w:rPr>
                <w:rFonts w:ascii="Arial"/>
                <w:sz w:val="21"/>
              </w:rPr>
            </w:pPr>
          </w:p>
          <w:p w14:paraId="58651808">
            <w:pPr>
              <w:pStyle w:val="6"/>
              <w:spacing w:before="101" w:line="344" w:lineRule="auto"/>
              <w:ind w:left="120" w:right="354" w:firstLine="8"/>
            </w:pPr>
            <w:r>
              <w:rPr>
                <w:spacing w:val="4"/>
              </w:rPr>
              <w:t>符合性审</w:t>
            </w:r>
            <w:r>
              <w:rPr>
                <w:spacing w:val="5"/>
              </w:rPr>
              <w:t>查标准</w:t>
            </w:r>
          </w:p>
        </w:tc>
        <w:tc>
          <w:tcPr>
            <w:tcW w:w="1744" w:type="dxa"/>
            <w:vAlign w:val="top"/>
          </w:tcPr>
          <w:p w14:paraId="49958A10">
            <w:pPr>
              <w:pStyle w:val="6"/>
              <w:spacing w:before="191" w:line="222" w:lineRule="auto"/>
              <w:ind w:left="114"/>
            </w:pPr>
            <w:r>
              <w:rPr>
                <w:spacing w:val="6"/>
              </w:rPr>
              <w:t>评审因素</w:t>
            </w:r>
          </w:p>
        </w:tc>
        <w:tc>
          <w:tcPr>
            <w:tcW w:w="7197" w:type="dxa"/>
            <w:vAlign w:val="top"/>
          </w:tcPr>
          <w:p w14:paraId="1E3465B0">
            <w:pPr>
              <w:pStyle w:val="6"/>
              <w:spacing w:before="191" w:line="222" w:lineRule="auto"/>
              <w:ind w:left="115"/>
            </w:pPr>
            <w:r>
              <w:rPr>
                <w:spacing w:val="6"/>
              </w:rPr>
              <w:t>评审标准</w:t>
            </w:r>
          </w:p>
        </w:tc>
      </w:tr>
      <w:tr w14:paraId="7FD75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trPr>
        <w:tc>
          <w:tcPr>
            <w:tcW w:w="1746" w:type="dxa"/>
            <w:vMerge w:val="continue"/>
            <w:tcBorders>
              <w:top w:val="nil"/>
              <w:bottom w:val="nil"/>
            </w:tcBorders>
            <w:vAlign w:val="top"/>
          </w:tcPr>
          <w:p w14:paraId="4BEA68D1">
            <w:pPr>
              <w:rPr>
                <w:rFonts w:ascii="Arial"/>
                <w:sz w:val="21"/>
              </w:rPr>
            </w:pPr>
          </w:p>
        </w:tc>
        <w:tc>
          <w:tcPr>
            <w:tcW w:w="1744" w:type="dxa"/>
            <w:vAlign w:val="top"/>
          </w:tcPr>
          <w:p w14:paraId="464B873B">
            <w:pPr>
              <w:pStyle w:val="6"/>
              <w:spacing w:before="184" w:line="286" w:lineRule="auto"/>
              <w:ind w:left="118" w:right="358"/>
            </w:pPr>
            <w:r>
              <w:rPr>
                <w:spacing w:val="5"/>
              </w:rPr>
              <w:t>投标人名</w:t>
            </w:r>
            <w:r>
              <w:t>称</w:t>
            </w:r>
          </w:p>
        </w:tc>
        <w:tc>
          <w:tcPr>
            <w:tcW w:w="7197" w:type="dxa"/>
            <w:vAlign w:val="top"/>
          </w:tcPr>
          <w:p w14:paraId="06502B78">
            <w:pPr>
              <w:spacing w:line="371" w:lineRule="auto"/>
              <w:rPr>
                <w:rFonts w:ascii="Arial"/>
                <w:sz w:val="21"/>
              </w:rPr>
            </w:pPr>
          </w:p>
          <w:p w14:paraId="73F88079">
            <w:pPr>
              <w:pStyle w:val="6"/>
              <w:spacing w:before="100" w:line="223" w:lineRule="auto"/>
              <w:ind w:left="132"/>
            </w:pPr>
            <w:r>
              <w:rPr>
                <w:spacing w:val="5"/>
              </w:rPr>
              <w:t>与营业执照一致</w:t>
            </w:r>
          </w:p>
        </w:tc>
      </w:tr>
      <w:tr w14:paraId="64959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trPr>
        <w:tc>
          <w:tcPr>
            <w:tcW w:w="1746" w:type="dxa"/>
            <w:vMerge w:val="continue"/>
            <w:tcBorders>
              <w:top w:val="nil"/>
              <w:bottom w:val="nil"/>
            </w:tcBorders>
            <w:vAlign w:val="top"/>
          </w:tcPr>
          <w:p w14:paraId="151EB04F">
            <w:pPr>
              <w:rPr>
                <w:rFonts w:ascii="Arial"/>
                <w:sz w:val="21"/>
              </w:rPr>
            </w:pPr>
          </w:p>
        </w:tc>
        <w:tc>
          <w:tcPr>
            <w:tcW w:w="1744" w:type="dxa"/>
            <w:vAlign w:val="top"/>
          </w:tcPr>
          <w:p w14:paraId="1F4D340E">
            <w:pPr>
              <w:spacing w:line="373" w:lineRule="auto"/>
              <w:rPr>
                <w:rFonts w:ascii="Arial"/>
                <w:sz w:val="21"/>
              </w:rPr>
            </w:pPr>
          </w:p>
          <w:p w14:paraId="322A3F91">
            <w:pPr>
              <w:pStyle w:val="6"/>
              <w:spacing w:before="100" w:line="222" w:lineRule="auto"/>
              <w:ind w:left="124"/>
            </w:pPr>
            <w:r>
              <w:rPr>
                <w:spacing w:val="4"/>
              </w:rPr>
              <w:t>签字盖章</w:t>
            </w:r>
          </w:p>
        </w:tc>
        <w:tc>
          <w:tcPr>
            <w:tcW w:w="7197" w:type="dxa"/>
            <w:vAlign w:val="top"/>
          </w:tcPr>
          <w:p w14:paraId="56CE6BA3">
            <w:pPr>
              <w:pStyle w:val="6"/>
              <w:spacing w:before="187" w:line="285" w:lineRule="auto"/>
              <w:ind w:left="118" w:right="369"/>
            </w:pPr>
            <w:r>
              <w:rPr>
                <w:spacing w:val="9"/>
              </w:rPr>
              <w:t>投标文件签字和盖章处有法定代表人或其委托代</w:t>
            </w:r>
            <w:r>
              <w:rPr>
                <w:spacing w:val="8"/>
              </w:rPr>
              <w:t>理人签字和加盖单位公章</w:t>
            </w:r>
          </w:p>
        </w:tc>
      </w:tr>
      <w:tr w14:paraId="5F9E2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746" w:type="dxa"/>
            <w:vMerge w:val="continue"/>
            <w:tcBorders>
              <w:top w:val="nil"/>
              <w:bottom w:val="nil"/>
            </w:tcBorders>
            <w:vAlign w:val="top"/>
          </w:tcPr>
          <w:p w14:paraId="29C63276">
            <w:pPr>
              <w:rPr>
                <w:rFonts w:ascii="Arial"/>
                <w:sz w:val="21"/>
              </w:rPr>
            </w:pPr>
          </w:p>
        </w:tc>
        <w:tc>
          <w:tcPr>
            <w:tcW w:w="1744" w:type="dxa"/>
            <w:vAlign w:val="top"/>
          </w:tcPr>
          <w:p w14:paraId="3FFA9BFF">
            <w:pPr>
              <w:pStyle w:val="6"/>
              <w:spacing w:before="230" w:line="222" w:lineRule="auto"/>
              <w:ind w:left="124"/>
            </w:pPr>
            <w:r>
              <w:rPr>
                <w:spacing w:val="10"/>
              </w:rPr>
              <w:t>报价唯一</w:t>
            </w:r>
          </w:p>
        </w:tc>
        <w:tc>
          <w:tcPr>
            <w:tcW w:w="7197" w:type="dxa"/>
            <w:vAlign w:val="top"/>
          </w:tcPr>
          <w:p w14:paraId="27264234">
            <w:pPr>
              <w:pStyle w:val="6"/>
              <w:spacing w:before="229" w:line="221" w:lineRule="auto"/>
              <w:ind w:left="127"/>
            </w:pPr>
            <w:r>
              <w:rPr>
                <w:spacing w:val="8"/>
              </w:rPr>
              <w:t>只能有一个有效报价，且符合最高限价的规定</w:t>
            </w:r>
          </w:p>
        </w:tc>
      </w:tr>
      <w:tr w14:paraId="40880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6" w:hRule="atLeast"/>
        </w:trPr>
        <w:tc>
          <w:tcPr>
            <w:tcW w:w="1746" w:type="dxa"/>
            <w:vMerge w:val="continue"/>
            <w:tcBorders>
              <w:top w:val="nil"/>
              <w:bottom w:val="nil"/>
            </w:tcBorders>
            <w:vAlign w:val="top"/>
          </w:tcPr>
          <w:p w14:paraId="1208BA97">
            <w:pPr>
              <w:rPr>
                <w:rFonts w:ascii="Arial"/>
                <w:sz w:val="21"/>
              </w:rPr>
            </w:pPr>
          </w:p>
        </w:tc>
        <w:tc>
          <w:tcPr>
            <w:tcW w:w="1744" w:type="dxa"/>
            <w:vAlign w:val="top"/>
          </w:tcPr>
          <w:p w14:paraId="0C120B75">
            <w:pPr>
              <w:pStyle w:val="6"/>
              <w:spacing w:before="188" w:line="285" w:lineRule="auto"/>
              <w:ind w:left="119" w:right="358" w:hanging="1"/>
            </w:pPr>
            <w:r>
              <w:rPr>
                <w:spacing w:val="5"/>
              </w:rPr>
              <w:t>合同履行</w:t>
            </w:r>
            <w:r>
              <w:t>期限</w:t>
            </w:r>
          </w:p>
        </w:tc>
        <w:tc>
          <w:tcPr>
            <w:tcW w:w="7197" w:type="dxa"/>
            <w:vAlign w:val="top"/>
          </w:tcPr>
          <w:p w14:paraId="37EFE012">
            <w:pPr>
              <w:spacing w:line="375" w:lineRule="auto"/>
              <w:rPr>
                <w:rFonts w:ascii="Arial"/>
                <w:sz w:val="21"/>
              </w:rPr>
            </w:pPr>
          </w:p>
          <w:p w14:paraId="427EFBE6">
            <w:pPr>
              <w:pStyle w:val="6"/>
              <w:spacing w:before="100" w:line="222" w:lineRule="auto"/>
              <w:ind w:left="158"/>
            </w:pPr>
            <w:r>
              <w:rPr>
                <w:rFonts w:hint="eastAsia"/>
                <w:spacing w:val="1"/>
              </w:rPr>
              <w:t>自合同签订之日起1年</w:t>
            </w:r>
          </w:p>
        </w:tc>
      </w:tr>
      <w:tr w14:paraId="2945A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1746" w:type="dxa"/>
            <w:vMerge w:val="continue"/>
            <w:tcBorders>
              <w:top w:val="nil"/>
            </w:tcBorders>
            <w:vAlign w:val="top"/>
          </w:tcPr>
          <w:p w14:paraId="009D4BB5">
            <w:pPr>
              <w:rPr>
                <w:rFonts w:ascii="Arial"/>
                <w:sz w:val="21"/>
              </w:rPr>
            </w:pPr>
          </w:p>
        </w:tc>
        <w:tc>
          <w:tcPr>
            <w:tcW w:w="1744" w:type="dxa"/>
            <w:vAlign w:val="top"/>
          </w:tcPr>
          <w:p w14:paraId="62E5A51F">
            <w:pPr>
              <w:pStyle w:val="6"/>
              <w:spacing w:before="189" w:line="286" w:lineRule="auto"/>
              <w:ind w:left="121" w:right="358" w:hanging="3"/>
            </w:pPr>
            <w:r>
              <w:rPr>
                <w:spacing w:val="5"/>
              </w:rPr>
              <w:t>投标文件</w:t>
            </w:r>
            <w:r>
              <w:rPr>
                <w:spacing w:val="3"/>
              </w:rPr>
              <w:t>有效期</w:t>
            </w:r>
          </w:p>
        </w:tc>
        <w:tc>
          <w:tcPr>
            <w:tcW w:w="7197" w:type="dxa"/>
            <w:vAlign w:val="top"/>
          </w:tcPr>
          <w:p w14:paraId="0205A6F5">
            <w:pPr>
              <w:spacing w:line="375" w:lineRule="auto"/>
              <w:rPr>
                <w:rFonts w:ascii="Arial"/>
                <w:sz w:val="21"/>
              </w:rPr>
            </w:pPr>
          </w:p>
          <w:p w14:paraId="02024CAC">
            <w:pPr>
              <w:pStyle w:val="6"/>
              <w:spacing w:before="101" w:line="222" w:lineRule="auto"/>
              <w:ind w:left="172"/>
            </w:pPr>
            <w:r>
              <w:rPr>
                <w:spacing w:val="-4"/>
              </w:rPr>
              <w:t>自投标截止之日起90日历天</w:t>
            </w:r>
          </w:p>
        </w:tc>
      </w:tr>
    </w:tbl>
    <w:p w14:paraId="04E2A718">
      <w:pPr>
        <w:rPr>
          <w:rFonts w:ascii="Arial"/>
          <w:sz w:val="21"/>
        </w:rPr>
      </w:pPr>
    </w:p>
    <w:p w14:paraId="1564D5D3">
      <w:pPr>
        <w:rPr>
          <w:rFonts w:ascii="Arial" w:hAnsi="Arial" w:eastAsia="Arial" w:cs="Arial"/>
          <w:sz w:val="21"/>
          <w:szCs w:val="21"/>
        </w:rPr>
        <w:sectPr>
          <w:footerReference r:id="rId6" w:type="default"/>
          <w:pgSz w:w="11906" w:h="16838"/>
          <w:pgMar w:top="788" w:right="606" w:bottom="1478" w:left="607" w:header="0" w:footer="1199" w:gutter="0"/>
          <w:cols w:space="720" w:num="1"/>
        </w:sectPr>
      </w:pPr>
    </w:p>
    <w:p w14:paraId="12A0102C">
      <w:pPr>
        <w:pStyle w:val="2"/>
        <w:spacing w:before="74" w:line="197" w:lineRule="auto"/>
        <w:ind w:left="118"/>
      </w:pPr>
      <w:r>
        <w:rPr>
          <w:spacing w:val="-2"/>
        </w:rPr>
        <w:t>3</w:t>
      </w:r>
      <w:r>
        <w:rPr>
          <w:spacing w:val="-27"/>
        </w:rPr>
        <w:t xml:space="preserve"> </w:t>
      </w:r>
      <w:r>
        <w:rPr>
          <w:spacing w:val="-2"/>
        </w:rPr>
        <w:t>、</w:t>
      </w:r>
      <w:r>
        <w:rPr>
          <w:spacing w:val="14"/>
        </w:rPr>
        <w:t xml:space="preserve">    </w:t>
      </w:r>
      <w:r>
        <w:rPr>
          <w:spacing w:val="-2"/>
        </w:rPr>
        <w:t>评分标准</w:t>
      </w:r>
    </w:p>
    <w:tbl>
      <w:tblPr>
        <w:tblStyle w:val="5"/>
        <w:tblW w:w="104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499"/>
        <w:gridCol w:w="981"/>
        <w:gridCol w:w="7026"/>
      </w:tblGrid>
      <w:tr w14:paraId="59D0C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984" w:type="dxa"/>
            <w:vAlign w:val="top"/>
          </w:tcPr>
          <w:p w14:paraId="72E0E908">
            <w:pPr>
              <w:pStyle w:val="6"/>
              <w:spacing w:before="191" w:line="222" w:lineRule="auto"/>
              <w:ind w:left="117"/>
            </w:pPr>
            <w:r>
              <w:rPr>
                <w:spacing w:val="4"/>
              </w:rPr>
              <w:t>序号</w:t>
            </w:r>
          </w:p>
        </w:tc>
        <w:tc>
          <w:tcPr>
            <w:tcW w:w="1499" w:type="dxa"/>
            <w:vAlign w:val="top"/>
          </w:tcPr>
          <w:p w14:paraId="4E08A4FF">
            <w:pPr>
              <w:pStyle w:val="6"/>
              <w:spacing w:before="191" w:line="222" w:lineRule="auto"/>
              <w:ind w:left="115"/>
            </w:pPr>
            <w:r>
              <w:rPr>
                <w:spacing w:val="6"/>
              </w:rPr>
              <w:t>评标项目</w:t>
            </w:r>
          </w:p>
        </w:tc>
        <w:tc>
          <w:tcPr>
            <w:tcW w:w="981" w:type="dxa"/>
            <w:vAlign w:val="top"/>
          </w:tcPr>
          <w:p w14:paraId="4DB4330B">
            <w:pPr>
              <w:pStyle w:val="6"/>
              <w:spacing w:before="191" w:line="222" w:lineRule="auto"/>
              <w:ind w:left="124"/>
            </w:pPr>
            <w:r>
              <w:rPr>
                <w:spacing w:val="-3"/>
              </w:rPr>
              <w:t>权重</w:t>
            </w:r>
          </w:p>
        </w:tc>
        <w:tc>
          <w:tcPr>
            <w:tcW w:w="7026" w:type="dxa"/>
            <w:vAlign w:val="top"/>
          </w:tcPr>
          <w:p w14:paraId="5B914447">
            <w:pPr>
              <w:pStyle w:val="6"/>
              <w:spacing w:before="191" w:line="222" w:lineRule="auto"/>
              <w:ind w:left="117"/>
            </w:pPr>
            <w:r>
              <w:rPr>
                <w:spacing w:val="6"/>
              </w:rPr>
              <w:t>评标办法</w:t>
            </w:r>
          </w:p>
        </w:tc>
      </w:tr>
      <w:tr w14:paraId="2DEA2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0490" w:type="dxa"/>
            <w:gridSpan w:val="4"/>
            <w:vAlign w:val="top"/>
          </w:tcPr>
          <w:p w14:paraId="340AD907">
            <w:pPr>
              <w:pStyle w:val="6"/>
              <w:spacing w:before="186" w:line="222" w:lineRule="auto"/>
              <w:ind w:left="140"/>
            </w:pPr>
            <w:r>
              <w:rPr>
                <w:spacing w:val="-6"/>
              </w:rPr>
              <w:t>一、价格分</w:t>
            </w:r>
            <w:r>
              <w:rPr>
                <w:spacing w:val="-66"/>
              </w:rPr>
              <w:t xml:space="preserve"> </w:t>
            </w:r>
            <w:r>
              <w:rPr>
                <w:spacing w:val="-6"/>
              </w:rPr>
              <w:t>(2</w:t>
            </w:r>
            <w:r>
              <w:rPr>
                <w:rFonts w:hint="eastAsia"/>
                <w:spacing w:val="-6"/>
                <w:lang w:val="en-US" w:eastAsia="zh-CN"/>
              </w:rPr>
              <w:t>5</w:t>
            </w:r>
            <w:r>
              <w:rPr>
                <w:spacing w:val="-59"/>
              </w:rPr>
              <w:t xml:space="preserve"> </w:t>
            </w:r>
            <w:r>
              <w:rPr>
                <w:spacing w:val="-6"/>
              </w:rPr>
              <w:t>分)</w:t>
            </w:r>
          </w:p>
        </w:tc>
      </w:tr>
      <w:tr w14:paraId="2652B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2" w:hRule="atLeast"/>
        </w:trPr>
        <w:tc>
          <w:tcPr>
            <w:tcW w:w="984" w:type="dxa"/>
            <w:vMerge w:val="restart"/>
            <w:tcBorders>
              <w:bottom w:val="nil"/>
            </w:tcBorders>
            <w:vAlign w:val="center"/>
          </w:tcPr>
          <w:p w14:paraId="540DB136">
            <w:pPr>
              <w:pStyle w:val="6"/>
              <w:spacing w:before="101" w:line="407" w:lineRule="exact"/>
              <w:ind w:left="140"/>
              <w:jc w:val="center"/>
            </w:pPr>
            <w:r>
              <w:rPr>
                <w:position w:val="2"/>
              </w:rPr>
              <w:t>1</w:t>
            </w:r>
          </w:p>
        </w:tc>
        <w:tc>
          <w:tcPr>
            <w:tcW w:w="1499" w:type="dxa"/>
            <w:vMerge w:val="restart"/>
            <w:tcBorders>
              <w:bottom w:val="nil"/>
            </w:tcBorders>
            <w:vAlign w:val="center"/>
          </w:tcPr>
          <w:p w14:paraId="57AE9E42">
            <w:pPr>
              <w:pStyle w:val="6"/>
              <w:spacing w:before="100" w:line="222" w:lineRule="auto"/>
              <w:ind w:left="125"/>
              <w:jc w:val="center"/>
            </w:pPr>
            <w:r>
              <w:rPr>
                <w:spacing w:val="-4"/>
              </w:rPr>
              <w:t>报价</w:t>
            </w:r>
          </w:p>
        </w:tc>
        <w:tc>
          <w:tcPr>
            <w:tcW w:w="981" w:type="dxa"/>
            <w:vMerge w:val="restart"/>
            <w:tcBorders>
              <w:bottom w:val="nil"/>
            </w:tcBorders>
            <w:vAlign w:val="center"/>
          </w:tcPr>
          <w:p w14:paraId="788593A6">
            <w:pPr>
              <w:pStyle w:val="6"/>
              <w:spacing w:before="101" w:line="224" w:lineRule="auto"/>
              <w:ind w:left="128"/>
              <w:jc w:val="center"/>
            </w:pPr>
            <w:r>
              <w:rPr>
                <w:spacing w:val="-5"/>
              </w:rPr>
              <w:t>2</w:t>
            </w:r>
            <w:r>
              <w:rPr>
                <w:rFonts w:hint="eastAsia"/>
                <w:spacing w:val="-5"/>
                <w:lang w:val="en-US" w:eastAsia="zh-CN"/>
              </w:rPr>
              <w:t>5</w:t>
            </w:r>
            <w:r>
              <w:rPr>
                <w:spacing w:val="-5"/>
              </w:rPr>
              <w:t>分</w:t>
            </w:r>
          </w:p>
        </w:tc>
        <w:tc>
          <w:tcPr>
            <w:tcW w:w="7026" w:type="dxa"/>
            <w:vAlign w:val="top"/>
          </w:tcPr>
          <w:p w14:paraId="2FAF07AB">
            <w:pPr>
              <w:pStyle w:val="6"/>
              <w:spacing w:before="185" w:line="305" w:lineRule="auto"/>
              <w:ind w:left="114" w:right="196" w:firstLine="2"/>
              <w:jc w:val="both"/>
            </w:pPr>
            <w:r>
              <w:rPr>
                <w:spacing w:val="8"/>
              </w:rPr>
              <w:t>评标基准价计算方法:投标人的报价得分计算方</w:t>
            </w:r>
            <w:r>
              <w:rPr>
                <w:spacing w:val="9"/>
              </w:rPr>
              <w:t>法如下：满足招标文件要求且投标价格最低的投</w:t>
            </w:r>
            <w:r>
              <w:rPr>
                <w:spacing w:val="8"/>
              </w:rPr>
              <w:t>标报价为评标基准价</w:t>
            </w:r>
          </w:p>
        </w:tc>
      </w:tr>
      <w:tr w14:paraId="5FACE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8" w:hRule="atLeast"/>
        </w:trPr>
        <w:tc>
          <w:tcPr>
            <w:tcW w:w="984" w:type="dxa"/>
            <w:vMerge w:val="continue"/>
            <w:tcBorders>
              <w:top w:val="nil"/>
              <w:bottom w:val="nil"/>
            </w:tcBorders>
            <w:vAlign w:val="top"/>
          </w:tcPr>
          <w:p w14:paraId="10539822">
            <w:pPr>
              <w:rPr>
                <w:rFonts w:ascii="Arial"/>
                <w:sz w:val="21"/>
              </w:rPr>
            </w:pPr>
          </w:p>
        </w:tc>
        <w:tc>
          <w:tcPr>
            <w:tcW w:w="1499" w:type="dxa"/>
            <w:vMerge w:val="continue"/>
            <w:tcBorders>
              <w:top w:val="nil"/>
              <w:bottom w:val="nil"/>
            </w:tcBorders>
            <w:vAlign w:val="top"/>
          </w:tcPr>
          <w:p w14:paraId="7B3F56F2">
            <w:pPr>
              <w:rPr>
                <w:rFonts w:ascii="Arial"/>
                <w:sz w:val="21"/>
              </w:rPr>
            </w:pPr>
          </w:p>
        </w:tc>
        <w:tc>
          <w:tcPr>
            <w:tcW w:w="981" w:type="dxa"/>
            <w:vMerge w:val="continue"/>
            <w:tcBorders>
              <w:top w:val="nil"/>
              <w:bottom w:val="nil"/>
            </w:tcBorders>
            <w:vAlign w:val="top"/>
          </w:tcPr>
          <w:p w14:paraId="2FEED49B">
            <w:pPr>
              <w:rPr>
                <w:rFonts w:ascii="Arial"/>
                <w:sz w:val="21"/>
              </w:rPr>
            </w:pPr>
          </w:p>
        </w:tc>
        <w:tc>
          <w:tcPr>
            <w:tcW w:w="7026" w:type="dxa"/>
            <w:vAlign w:val="top"/>
          </w:tcPr>
          <w:p w14:paraId="0BBCD1B9">
            <w:pPr>
              <w:pStyle w:val="6"/>
              <w:spacing w:before="188" w:line="343" w:lineRule="auto"/>
              <w:ind w:left="114" w:right="357" w:firstLine="6"/>
            </w:pPr>
            <w:r>
              <w:rPr>
                <w:spacing w:val="8"/>
              </w:rPr>
              <w:t>投标报价的计算:有效投标报价中价格最低的投标人的投标报价分为满分。</w:t>
            </w:r>
          </w:p>
          <w:p w14:paraId="04E03662">
            <w:pPr>
              <w:pStyle w:val="6"/>
              <w:spacing w:line="285" w:lineRule="auto"/>
              <w:ind w:left="120" w:right="288" w:hanging="3"/>
              <w:rPr>
                <w:rFonts w:hint="eastAsia" w:eastAsia="仿宋"/>
                <w:lang w:eastAsia="zh-CN"/>
              </w:rPr>
            </w:pPr>
            <w:r>
              <w:rPr>
                <w:spacing w:val="5"/>
              </w:rPr>
              <w:t>其他投标人的报价得分统一按照下列公式计算：</w:t>
            </w:r>
            <w:r>
              <w:rPr>
                <w:spacing w:val="3"/>
              </w:rPr>
              <w:t>投标报价得分=（评标基准价/投标报价）</w:t>
            </w:r>
            <w:r>
              <w:rPr>
                <w:spacing w:val="-39"/>
              </w:rPr>
              <w:t xml:space="preserve"> </w:t>
            </w:r>
            <w:r>
              <w:rPr>
                <w:spacing w:val="3"/>
              </w:rPr>
              <w:t>×2</w:t>
            </w:r>
            <w:r>
              <w:rPr>
                <w:rFonts w:hint="eastAsia"/>
                <w:spacing w:val="3"/>
                <w:lang w:val="en-US" w:eastAsia="zh-CN"/>
              </w:rPr>
              <w:t>5</w:t>
            </w:r>
          </w:p>
        </w:tc>
      </w:tr>
      <w:tr w14:paraId="165C2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3" w:hRule="atLeast"/>
        </w:trPr>
        <w:tc>
          <w:tcPr>
            <w:tcW w:w="984" w:type="dxa"/>
            <w:vMerge w:val="continue"/>
            <w:tcBorders>
              <w:top w:val="nil"/>
            </w:tcBorders>
            <w:vAlign w:val="top"/>
          </w:tcPr>
          <w:p w14:paraId="6AC0788B">
            <w:pPr>
              <w:rPr>
                <w:rFonts w:ascii="Arial"/>
                <w:sz w:val="21"/>
              </w:rPr>
            </w:pPr>
          </w:p>
        </w:tc>
        <w:tc>
          <w:tcPr>
            <w:tcW w:w="1499" w:type="dxa"/>
            <w:vMerge w:val="continue"/>
            <w:tcBorders>
              <w:top w:val="nil"/>
            </w:tcBorders>
            <w:vAlign w:val="top"/>
          </w:tcPr>
          <w:p w14:paraId="62CB7DAD">
            <w:pPr>
              <w:rPr>
                <w:rFonts w:ascii="Arial"/>
                <w:sz w:val="21"/>
              </w:rPr>
            </w:pPr>
          </w:p>
        </w:tc>
        <w:tc>
          <w:tcPr>
            <w:tcW w:w="981" w:type="dxa"/>
            <w:vMerge w:val="continue"/>
            <w:tcBorders>
              <w:top w:val="nil"/>
            </w:tcBorders>
            <w:vAlign w:val="top"/>
          </w:tcPr>
          <w:p w14:paraId="6CDE8374">
            <w:pPr>
              <w:rPr>
                <w:rFonts w:ascii="Arial"/>
                <w:sz w:val="21"/>
              </w:rPr>
            </w:pPr>
          </w:p>
        </w:tc>
        <w:tc>
          <w:tcPr>
            <w:tcW w:w="7026" w:type="dxa"/>
            <w:vAlign w:val="top"/>
          </w:tcPr>
          <w:p w14:paraId="2EA82DE1">
            <w:pPr>
              <w:pStyle w:val="6"/>
              <w:spacing w:before="183" w:line="329" w:lineRule="auto"/>
              <w:ind w:left="120" w:right="196" w:hanging="7"/>
              <w:jc w:val="both"/>
            </w:pPr>
            <w:r>
              <w:rPr>
                <w:spacing w:val="9"/>
              </w:rPr>
              <w:t>根据《政府采购货物和服务招标投标管理办法》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w:t>
            </w:r>
            <w:r>
              <w:rPr>
                <w:spacing w:val="-4"/>
              </w:rPr>
              <w:t>理。</w:t>
            </w:r>
          </w:p>
        </w:tc>
      </w:tr>
      <w:tr w14:paraId="4C06D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0490" w:type="dxa"/>
            <w:gridSpan w:val="4"/>
            <w:vAlign w:val="top"/>
          </w:tcPr>
          <w:p w14:paraId="18DDC568">
            <w:pPr>
              <w:pStyle w:val="6"/>
              <w:spacing w:before="189" w:line="222" w:lineRule="auto"/>
              <w:ind w:left="137"/>
            </w:pPr>
            <w:r>
              <w:rPr>
                <w:spacing w:val="4"/>
              </w:rPr>
              <w:t>二、商务部分(</w:t>
            </w:r>
            <w:r>
              <w:rPr>
                <w:rFonts w:hint="eastAsia"/>
                <w:spacing w:val="4"/>
                <w:lang w:val="en-US" w:eastAsia="zh-CN"/>
              </w:rPr>
              <w:t>15</w:t>
            </w:r>
            <w:r>
              <w:rPr>
                <w:spacing w:val="-60"/>
              </w:rPr>
              <w:t xml:space="preserve"> </w:t>
            </w:r>
            <w:r>
              <w:rPr>
                <w:spacing w:val="4"/>
              </w:rPr>
              <w:t>分)</w:t>
            </w:r>
          </w:p>
        </w:tc>
      </w:tr>
      <w:tr w14:paraId="78181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84" w:type="dxa"/>
            <w:vAlign w:val="center"/>
          </w:tcPr>
          <w:p w14:paraId="1496A364">
            <w:pPr>
              <w:pStyle w:val="6"/>
              <w:spacing w:before="101" w:line="407" w:lineRule="exact"/>
              <w:jc w:val="center"/>
            </w:pPr>
            <w:r>
              <w:rPr>
                <w:position w:val="2"/>
              </w:rPr>
              <w:t>1</w:t>
            </w:r>
          </w:p>
        </w:tc>
        <w:tc>
          <w:tcPr>
            <w:tcW w:w="1499" w:type="dxa"/>
            <w:vAlign w:val="center"/>
          </w:tcPr>
          <w:p w14:paraId="25F47E95">
            <w:pPr>
              <w:pStyle w:val="6"/>
              <w:spacing w:before="101" w:line="223" w:lineRule="auto"/>
              <w:jc w:val="center"/>
              <w:rPr>
                <w:rFonts w:hint="eastAsia" w:eastAsia="仿宋"/>
                <w:lang w:eastAsia="zh-CN"/>
              </w:rPr>
            </w:pPr>
            <w:r>
              <w:rPr>
                <w:rFonts w:hint="eastAsia"/>
                <w:spacing w:val="2"/>
                <w:lang w:val="en-US" w:eastAsia="zh-CN"/>
              </w:rPr>
              <w:t>企业资质</w:t>
            </w:r>
          </w:p>
        </w:tc>
        <w:tc>
          <w:tcPr>
            <w:tcW w:w="981" w:type="dxa"/>
            <w:vAlign w:val="center"/>
          </w:tcPr>
          <w:p w14:paraId="39937918">
            <w:pPr>
              <w:pStyle w:val="6"/>
              <w:spacing w:before="101" w:line="224" w:lineRule="auto"/>
              <w:jc w:val="center"/>
            </w:pPr>
            <w:r>
              <w:rPr>
                <w:spacing w:val="-8"/>
              </w:rPr>
              <w:t>1</w:t>
            </w:r>
            <w:r>
              <w:rPr>
                <w:rFonts w:hint="eastAsia"/>
                <w:spacing w:val="-8"/>
                <w:lang w:val="en-US" w:eastAsia="zh-CN"/>
              </w:rPr>
              <w:t>0</w:t>
            </w:r>
            <w:r>
              <w:rPr>
                <w:spacing w:val="-8"/>
              </w:rPr>
              <w:t>分</w:t>
            </w:r>
          </w:p>
        </w:tc>
        <w:tc>
          <w:tcPr>
            <w:tcW w:w="7026" w:type="dxa"/>
            <w:vAlign w:val="center"/>
          </w:tcPr>
          <w:p w14:paraId="457F3CB9">
            <w:pPr>
              <w:pStyle w:val="6"/>
              <w:numPr>
                <w:ilvl w:val="0"/>
                <w:numId w:val="1"/>
              </w:numPr>
              <w:spacing w:before="190" w:line="304" w:lineRule="auto"/>
              <w:ind w:left="123" w:right="107" w:hanging="3"/>
              <w:jc w:val="both"/>
              <w:rPr>
                <w:rFonts w:hint="eastAsia"/>
                <w:spacing w:val="7"/>
              </w:rPr>
            </w:pPr>
            <w:r>
              <w:rPr>
                <w:rFonts w:hint="eastAsia"/>
                <w:spacing w:val="7"/>
              </w:rPr>
              <w:t>具备计算机信息系统运维相关ITSS信息技术服务资质，得3分。</w:t>
            </w:r>
          </w:p>
          <w:p w14:paraId="2AF893BA">
            <w:pPr>
              <w:pStyle w:val="6"/>
              <w:numPr>
                <w:ilvl w:val="0"/>
                <w:numId w:val="1"/>
              </w:numPr>
              <w:spacing w:before="190" w:line="304" w:lineRule="auto"/>
              <w:ind w:left="123" w:right="107" w:hanging="3"/>
              <w:jc w:val="both"/>
            </w:pPr>
            <w:r>
              <w:rPr>
                <w:rFonts w:hint="eastAsia"/>
                <w:spacing w:val="7"/>
              </w:rPr>
              <w:t>近3年同类</w:t>
            </w:r>
            <w:r>
              <w:rPr>
                <w:rFonts w:hint="eastAsia"/>
                <w:spacing w:val="7"/>
                <w:lang w:val="en-US" w:eastAsia="zh-CN"/>
              </w:rPr>
              <w:t>运维</w:t>
            </w:r>
            <w:r>
              <w:rPr>
                <w:rFonts w:hint="eastAsia"/>
                <w:spacing w:val="7"/>
              </w:rPr>
              <w:t>项目案例，每1份有效合同得2分，最高7分。</w:t>
            </w:r>
            <w:bookmarkStart w:id="0" w:name="_GoBack"/>
            <w:bookmarkEnd w:id="0"/>
          </w:p>
        </w:tc>
      </w:tr>
      <w:tr w14:paraId="5F471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984" w:type="dxa"/>
            <w:vAlign w:val="center"/>
          </w:tcPr>
          <w:p w14:paraId="00977C48">
            <w:pPr>
              <w:pStyle w:val="6"/>
              <w:spacing w:before="100" w:line="408" w:lineRule="exact"/>
              <w:ind w:left="132"/>
              <w:jc w:val="center"/>
            </w:pPr>
            <w:r>
              <w:rPr>
                <w:position w:val="2"/>
              </w:rPr>
              <w:t>2</w:t>
            </w:r>
          </w:p>
        </w:tc>
        <w:tc>
          <w:tcPr>
            <w:tcW w:w="1499" w:type="dxa"/>
            <w:vAlign w:val="center"/>
          </w:tcPr>
          <w:p w14:paraId="1267C1D7">
            <w:pPr>
              <w:pStyle w:val="6"/>
              <w:spacing w:before="101" w:line="224" w:lineRule="auto"/>
              <w:ind w:left="117"/>
              <w:jc w:val="center"/>
              <w:rPr>
                <w:rFonts w:hint="eastAsia" w:eastAsia="仿宋"/>
                <w:lang w:eastAsia="zh-CN"/>
              </w:rPr>
            </w:pPr>
            <w:r>
              <w:rPr>
                <w:rFonts w:hint="eastAsia"/>
                <w:spacing w:val="6"/>
                <w:lang w:val="en-US" w:eastAsia="zh-CN"/>
              </w:rPr>
              <w:t>企业信誉</w:t>
            </w:r>
          </w:p>
        </w:tc>
        <w:tc>
          <w:tcPr>
            <w:tcW w:w="981" w:type="dxa"/>
            <w:vAlign w:val="center"/>
          </w:tcPr>
          <w:p w14:paraId="7D924FBD">
            <w:pPr>
              <w:pStyle w:val="6"/>
              <w:spacing w:before="101" w:line="224" w:lineRule="auto"/>
              <w:ind w:left="131"/>
              <w:jc w:val="center"/>
            </w:pPr>
            <w:r>
              <w:rPr>
                <w:rFonts w:hint="eastAsia"/>
                <w:spacing w:val="-12"/>
                <w:lang w:val="en-US" w:eastAsia="zh-CN"/>
              </w:rPr>
              <w:t>5</w:t>
            </w:r>
            <w:r>
              <w:rPr>
                <w:spacing w:val="-12"/>
              </w:rPr>
              <w:t>分</w:t>
            </w:r>
          </w:p>
        </w:tc>
        <w:tc>
          <w:tcPr>
            <w:tcW w:w="7026" w:type="dxa"/>
            <w:vAlign w:val="center"/>
          </w:tcPr>
          <w:p w14:paraId="334FE3EC">
            <w:pPr>
              <w:pStyle w:val="6"/>
              <w:spacing w:before="8" w:line="221" w:lineRule="auto"/>
              <w:ind w:left="118"/>
              <w:jc w:val="both"/>
            </w:pPr>
            <w:r>
              <w:rPr>
                <w:rFonts w:hint="eastAsia"/>
              </w:rPr>
              <w:t>无重大违法失信、不良履约记录得5分；存在不良记录酌情扣分，扣完为止</w:t>
            </w:r>
          </w:p>
        </w:tc>
      </w:tr>
    </w:tbl>
    <w:p w14:paraId="1330A0F2">
      <w:pPr>
        <w:spacing w:line="180" w:lineRule="exact"/>
        <w:rPr>
          <w:rFonts w:ascii="Arial" w:hAnsi="Arial" w:eastAsia="Arial" w:cs="Arial"/>
          <w:sz w:val="15"/>
          <w:szCs w:val="15"/>
        </w:rPr>
        <w:sectPr>
          <w:footerReference r:id="rId7" w:type="default"/>
          <w:pgSz w:w="11906" w:h="16838"/>
          <w:pgMar w:top="788" w:right="803" w:bottom="1478" w:left="607" w:header="0" w:footer="1200" w:gutter="0"/>
          <w:cols w:space="720" w:num="1"/>
        </w:sectPr>
      </w:pPr>
    </w:p>
    <w:tbl>
      <w:tblPr>
        <w:tblStyle w:val="5"/>
        <w:tblW w:w="104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499"/>
        <w:gridCol w:w="981"/>
        <w:gridCol w:w="7026"/>
      </w:tblGrid>
      <w:tr w14:paraId="2F011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0490" w:type="dxa"/>
            <w:gridSpan w:val="4"/>
            <w:vAlign w:val="top"/>
          </w:tcPr>
          <w:p w14:paraId="256D8F13">
            <w:pPr>
              <w:pStyle w:val="6"/>
              <w:spacing w:before="188" w:line="222" w:lineRule="auto"/>
              <w:ind w:left="143"/>
            </w:pPr>
            <w:r>
              <w:rPr>
                <w:spacing w:val="3"/>
              </w:rPr>
              <w:t>三、技术部分(</w:t>
            </w:r>
            <w:r>
              <w:rPr>
                <w:rFonts w:hint="eastAsia"/>
                <w:spacing w:val="3"/>
                <w:lang w:val="en-US" w:eastAsia="zh-CN"/>
              </w:rPr>
              <w:t>6</w:t>
            </w:r>
            <w:r>
              <w:rPr>
                <w:spacing w:val="3"/>
              </w:rPr>
              <w:t>0</w:t>
            </w:r>
            <w:r>
              <w:rPr>
                <w:spacing w:val="-55"/>
              </w:rPr>
              <w:t xml:space="preserve"> </w:t>
            </w:r>
            <w:r>
              <w:rPr>
                <w:spacing w:val="3"/>
              </w:rPr>
              <w:t>分)</w:t>
            </w:r>
          </w:p>
        </w:tc>
      </w:tr>
      <w:tr w14:paraId="47095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8" w:hRule="atLeast"/>
        </w:trPr>
        <w:tc>
          <w:tcPr>
            <w:tcW w:w="984" w:type="dxa"/>
            <w:vAlign w:val="center"/>
          </w:tcPr>
          <w:p w14:paraId="2723AA31">
            <w:pPr>
              <w:pStyle w:val="6"/>
              <w:spacing w:before="101" w:line="407" w:lineRule="exact"/>
              <w:ind w:left="140"/>
              <w:jc w:val="center"/>
            </w:pPr>
            <w:r>
              <w:rPr>
                <w:position w:val="2"/>
              </w:rPr>
              <w:t>1</w:t>
            </w:r>
          </w:p>
        </w:tc>
        <w:tc>
          <w:tcPr>
            <w:tcW w:w="1499" w:type="dxa"/>
            <w:vAlign w:val="center"/>
          </w:tcPr>
          <w:p w14:paraId="517FEB71">
            <w:pPr>
              <w:spacing w:line="258" w:lineRule="auto"/>
              <w:jc w:val="center"/>
              <w:rPr>
                <w:rFonts w:ascii="Arial"/>
                <w:sz w:val="21"/>
              </w:rPr>
            </w:pPr>
          </w:p>
          <w:p w14:paraId="6E0E660B">
            <w:pPr>
              <w:pStyle w:val="6"/>
              <w:spacing w:before="100" w:line="222" w:lineRule="auto"/>
              <w:ind w:left="116"/>
              <w:jc w:val="center"/>
            </w:pPr>
            <w:r>
              <w:rPr>
                <w:rFonts w:hint="eastAsia"/>
                <w:spacing w:val="6"/>
              </w:rPr>
              <w:t>日常使用问题解答方案</w:t>
            </w:r>
          </w:p>
        </w:tc>
        <w:tc>
          <w:tcPr>
            <w:tcW w:w="981" w:type="dxa"/>
            <w:vAlign w:val="center"/>
          </w:tcPr>
          <w:p w14:paraId="1F56DF7E">
            <w:pPr>
              <w:pStyle w:val="6"/>
              <w:spacing w:before="101" w:line="224" w:lineRule="auto"/>
              <w:ind w:left="127"/>
              <w:jc w:val="center"/>
            </w:pPr>
            <w:r>
              <w:rPr>
                <w:rFonts w:hint="eastAsia"/>
                <w:spacing w:val="-5"/>
                <w:lang w:val="en-US" w:eastAsia="zh-CN"/>
              </w:rPr>
              <w:t>8</w:t>
            </w:r>
            <w:r>
              <w:rPr>
                <w:spacing w:val="-5"/>
              </w:rPr>
              <w:t>分</w:t>
            </w:r>
          </w:p>
        </w:tc>
        <w:tc>
          <w:tcPr>
            <w:tcW w:w="7026" w:type="dxa"/>
            <w:vAlign w:val="center"/>
          </w:tcPr>
          <w:p w14:paraId="30B7D13E">
            <w:pPr>
              <w:pStyle w:val="6"/>
              <w:spacing w:before="4" w:line="303" w:lineRule="auto"/>
              <w:ind w:left="129" w:right="110" w:hanging="7"/>
              <w:jc w:val="both"/>
            </w:pPr>
            <w:r>
              <w:rPr>
                <w:rFonts w:hint="eastAsia"/>
                <w:spacing w:val="9"/>
              </w:rPr>
              <w:t>方案完整、渠道流程完善得6-8分；基本满足需求得3-5分；方案简陋得0-2分。</w:t>
            </w:r>
          </w:p>
        </w:tc>
      </w:tr>
      <w:tr w14:paraId="656AB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2" w:hRule="atLeast"/>
        </w:trPr>
        <w:tc>
          <w:tcPr>
            <w:tcW w:w="984" w:type="dxa"/>
            <w:vAlign w:val="center"/>
          </w:tcPr>
          <w:p w14:paraId="73C4EF0A">
            <w:pPr>
              <w:pStyle w:val="6"/>
              <w:spacing w:before="100" w:line="408" w:lineRule="exact"/>
              <w:ind w:left="132"/>
              <w:jc w:val="center"/>
            </w:pPr>
            <w:r>
              <w:rPr>
                <w:position w:val="2"/>
              </w:rPr>
              <w:t>2</w:t>
            </w:r>
          </w:p>
        </w:tc>
        <w:tc>
          <w:tcPr>
            <w:tcW w:w="1499" w:type="dxa"/>
            <w:vAlign w:val="center"/>
          </w:tcPr>
          <w:p w14:paraId="61099304">
            <w:pPr>
              <w:pStyle w:val="6"/>
              <w:spacing w:before="100" w:line="345" w:lineRule="auto"/>
              <w:ind w:left="116" w:right="112" w:firstLine="2"/>
              <w:jc w:val="center"/>
            </w:pPr>
            <w:r>
              <w:rPr>
                <w:rFonts w:hint="eastAsia"/>
                <w:spacing w:val="5"/>
              </w:rPr>
              <w:t>临时数据调整服务方案</w:t>
            </w:r>
          </w:p>
        </w:tc>
        <w:tc>
          <w:tcPr>
            <w:tcW w:w="981" w:type="dxa"/>
            <w:vAlign w:val="center"/>
          </w:tcPr>
          <w:p w14:paraId="4F9CD35D">
            <w:pPr>
              <w:pStyle w:val="6"/>
              <w:spacing w:before="100" w:line="224" w:lineRule="auto"/>
              <w:ind w:left="136"/>
              <w:jc w:val="center"/>
            </w:pPr>
            <w:r>
              <w:rPr>
                <w:spacing w:val="-8"/>
              </w:rPr>
              <w:t>10</w:t>
            </w:r>
            <w:r>
              <w:rPr>
                <w:spacing w:val="-59"/>
              </w:rPr>
              <w:t xml:space="preserve"> </w:t>
            </w:r>
            <w:r>
              <w:rPr>
                <w:spacing w:val="-8"/>
              </w:rPr>
              <w:t>分</w:t>
            </w:r>
          </w:p>
        </w:tc>
        <w:tc>
          <w:tcPr>
            <w:tcW w:w="7026" w:type="dxa"/>
            <w:vAlign w:val="center"/>
          </w:tcPr>
          <w:p w14:paraId="45C84743">
            <w:pPr>
              <w:pStyle w:val="6"/>
              <w:spacing w:before="203" w:line="288" w:lineRule="auto"/>
              <w:ind w:left="119" w:right="108" w:hanging="10"/>
              <w:jc w:val="both"/>
            </w:pPr>
            <w:r>
              <w:rPr>
                <w:rFonts w:hint="eastAsia"/>
                <w:spacing w:val="9"/>
              </w:rPr>
              <w:t>流程规范、风险防控到位得8-10分；有基本流程得4-7分；方案缺失、无安全保障得0-3分。</w:t>
            </w:r>
          </w:p>
        </w:tc>
      </w:tr>
      <w:tr w14:paraId="7083E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984" w:type="dxa"/>
            <w:vAlign w:val="center"/>
          </w:tcPr>
          <w:p w14:paraId="4BC645F9">
            <w:pPr>
              <w:pStyle w:val="6"/>
              <w:spacing w:before="100" w:line="408" w:lineRule="exact"/>
              <w:ind w:left="132"/>
              <w:jc w:val="center"/>
              <w:rPr>
                <w:rFonts w:hint="eastAsia" w:eastAsia="仿宋"/>
                <w:position w:val="2"/>
                <w:lang w:val="en-US" w:eastAsia="zh-CN"/>
              </w:rPr>
            </w:pPr>
            <w:r>
              <w:rPr>
                <w:rFonts w:hint="eastAsia"/>
                <w:position w:val="2"/>
                <w:lang w:val="en-US" w:eastAsia="zh-CN"/>
              </w:rPr>
              <w:t>3</w:t>
            </w:r>
          </w:p>
        </w:tc>
        <w:tc>
          <w:tcPr>
            <w:tcW w:w="1499" w:type="dxa"/>
            <w:vAlign w:val="center"/>
          </w:tcPr>
          <w:p w14:paraId="3B529A9B">
            <w:pPr>
              <w:pStyle w:val="6"/>
              <w:spacing w:before="100" w:line="345" w:lineRule="auto"/>
              <w:ind w:left="116" w:right="112" w:firstLine="2"/>
              <w:jc w:val="center"/>
              <w:rPr>
                <w:spacing w:val="5"/>
              </w:rPr>
            </w:pPr>
            <w:r>
              <w:rPr>
                <w:rFonts w:hint="eastAsia"/>
                <w:spacing w:val="5"/>
              </w:rPr>
              <w:t>无代码流程节点调整方案</w:t>
            </w:r>
          </w:p>
        </w:tc>
        <w:tc>
          <w:tcPr>
            <w:tcW w:w="981" w:type="dxa"/>
            <w:vAlign w:val="center"/>
          </w:tcPr>
          <w:p w14:paraId="45064D0F">
            <w:pPr>
              <w:pStyle w:val="6"/>
              <w:spacing w:before="100" w:line="224" w:lineRule="auto"/>
              <w:ind w:left="136"/>
              <w:jc w:val="center"/>
              <w:rPr>
                <w:rFonts w:hint="default" w:eastAsia="仿宋"/>
                <w:spacing w:val="-8"/>
                <w:lang w:val="en-US" w:eastAsia="zh-CN"/>
              </w:rPr>
            </w:pPr>
            <w:r>
              <w:rPr>
                <w:rFonts w:hint="eastAsia"/>
                <w:spacing w:val="-8"/>
                <w:lang w:val="en-US" w:eastAsia="zh-CN"/>
              </w:rPr>
              <w:t>12分</w:t>
            </w:r>
          </w:p>
        </w:tc>
        <w:tc>
          <w:tcPr>
            <w:tcW w:w="7026" w:type="dxa"/>
            <w:vAlign w:val="center"/>
          </w:tcPr>
          <w:p w14:paraId="228DCF9E">
            <w:pPr>
              <w:pStyle w:val="6"/>
              <w:spacing w:before="203" w:line="288" w:lineRule="auto"/>
              <w:ind w:left="119" w:right="108" w:hanging="10"/>
              <w:jc w:val="both"/>
              <w:rPr>
                <w:spacing w:val="-5"/>
              </w:rPr>
            </w:pPr>
            <w:r>
              <w:rPr>
                <w:rFonts w:hint="eastAsia"/>
                <w:spacing w:val="-5"/>
              </w:rPr>
              <w:t>方案全面、贴合平台需求得10-12分；可行且满足基础调整得5-9分；方案不完善得0-4分。</w:t>
            </w:r>
          </w:p>
        </w:tc>
      </w:tr>
      <w:tr w14:paraId="78F19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6" w:hRule="atLeast"/>
        </w:trPr>
        <w:tc>
          <w:tcPr>
            <w:tcW w:w="984" w:type="dxa"/>
            <w:vAlign w:val="center"/>
          </w:tcPr>
          <w:p w14:paraId="5860F95E">
            <w:pPr>
              <w:pStyle w:val="6"/>
              <w:spacing w:before="100" w:line="408" w:lineRule="exact"/>
              <w:ind w:left="132"/>
              <w:jc w:val="center"/>
              <w:rPr>
                <w:rFonts w:hint="eastAsia" w:eastAsia="仿宋"/>
                <w:position w:val="2"/>
                <w:lang w:val="en-US" w:eastAsia="zh-CN"/>
              </w:rPr>
            </w:pPr>
            <w:r>
              <w:rPr>
                <w:rFonts w:hint="eastAsia"/>
                <w:position w:val="2"/>
                <w:lang w:val="en-US" w:eastAsia="zh-CN"/>
              </w:rPr>
              <w:t>4</w:t>
            </w:r>
          </w:p>
        </w:tc>
        <w:tc>
          <w:tcPr>
            <w:tcW w:w="1499" w:type="dxa"/>
            <w:shd w:val="clear" w:color="auto" w:fill="auto"/>
            <w:vAlign w:val="center"/>
          </w:tcPr>
          <w:p w14:paraId="371B7512">
            <w:pPr>
              <w:pStyle w:val="7"/>
              <w:ind w:left="0" w:leftChars="0"/>
              <w:jc w:val="center"/>
              <w:rPr>
                <w:rFonts w:hint="eastAsia" w:ascii="仿宋" w:hAnsi="仿宋" w:eastAsia="仿宋" w:cs="仿宋"/>
                <w:sz w:val="28"/>
                <w:szCs w:val="28"/>
              </w:rPr>
            </w:pPr>
            <w:r>
              <w:rPr>
                <w:rFonts w:hint="eastAsia" w:ascii="仿宋" w:hAnsi="仿宋" w:eastAsia="仿宋" w:cs="仿宋"/>
                <w:sz w:val="28"/>
                <w:szCs w:val="28"/>
              </w:rPr>
              <w:t>平台使用异常处理方案</w:t>
            </w:r>
          </w:p>
        </w:tc>
        <w:tc>
          <w:tcPr>
            <w:tcW w:w="981" w:type="dxa"/>
            <w:vAlign w:val="center"/>
          </w:tcPr>
          <w:p w14:paraId="53941E8E">
            <w:pPr>
              <w:pStyle w:val="6"/>
              <w:spacing w:before="100" w:line="224" w:lineRule="auto"/>
              <w:ind w:left="136"/>
              <w:jc w:val="center"/>
              <w:rPr>
                <w:spacing w:val="-8"/>
              </w:rPr>
            </w:pPr>
            <w:r>
              <w:rPr>
                <w:rFonts w:hint="eastAsia" w:ascii="仿宋" w:hAnsi="仿宋" w:eastAsia="仿宋" w:cs="仿宋"/>
                <w:sz w:val="28"/>
                <w:szCs w:val="28"/>
              </w:rPr>
              <w:t>12分</w:t>
            </w:r>
          </w:p>
        </w:tc>
        <w:tc>
          <w:tcPr>
            <w:tcW w:w="7026" w:type="dxa"/>
            <w:shd w:val="clear" w:color="auto" w:fill="auto"/>
            <w:vAlign w:val="center"/>
          </w:tcPr>
          <w:p w14:paraId="4C32B60C">
            <w:pPr>
              <w:pStyle w:val="7"/>
              <w:ind w:left="0" w:leftChars="0"/>
              <w:jc w:val="both"/>
              <w:rPr>
                <w:rFonts w:hint="eastAsia" w:ascii="仿宋" w:hAnsi="仿宋" w:eastAsia="仿宋" w:cs="仿宋"/>
                <w:sz w:val="28"/>
                <w:szCs w:val="28"/>
              </w:rPr>
            </w:pPr>
            <w:r>
              <w:rPr>
                <w:rFonts w:hint="eastAsia" w:ascii="仿宋" w:hAnsi="仿宋" w:eastAsia="仿宋" w:cs="仿宋"/>
                <w:sz w:val="28"/>
                <w:szCs w:val="28"/>
              </w:rPr>
              <w:t>预案完整、排查解决流程清晰得10-12分；可解决常见问题得5-9分；无针对性方案得0-4分。</w:t>
            </w:r>
          </w:p>
        </w:tc>
      </w:tr>
      <w:tr w14:paraId="05493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8" w:hRule="atLeast"/>
        </w:trPr>
        <w:tc>
          <w:tcPr>
            <w:tcW w:w="984" w:type="dxa"/>
            <w:vAlign w:val="center"/>
          </w:tcPr>
          <w:p w14:paraId="5227CB91">
            <w:pPr>
              <w:pStyle w:val="6"/>
              <w:spacing w:before="100" w:line="408" w:lineRule="exact"/>
              <w:ind w:left="132"/>
              <w:jc w:val="center"/>
              <w:rPr>
                <w:rFonts w:hint="eastAsia" w:eastAsia="仿宋"/>
                <w:position w:val="2"/>
                <w:lang w:val="en-US" w:eastAsia="zh-CN"/>
              </w:rPr>
            </w:pPr>
            <w:r>
              <w:rPr>
                <w:rFonts w:hint="eastAsia"/>
                <w:position w:val="2"/>
                <w:lang w:val="en-US" w:eastAsia="zh-CN"/>
              </w:rPr>
              <w:t>5</w:t>
            </w:r>
          </w:p>
        </w:tc>
        <w:tc>
          <w:tcPr>
            <w:tcW w:w="1499" w:type="dxa"/>
            <w:shd w:val="clear" w:color="auto" w:fill="auto"/>
            <w:vAlign w:val="center"/>
          </w:tcPr>
          <w:p w14:paraId="7E4F0EC8">
            <w:pPr>
              <w:pStyle w:val="7"/>
              <w:ind w:left="0" w:leftChars="0"/>
              <w:jc w:val="center"/>
              <w:rPr>
                <w:rFonts w:hint="eastAsia" w:ascii="仿宋" w:hAnsi="仿宋" w:eastAsia="仿宋" w:cs="仿宋"/>
                <w:sz w:val="28"/>
                <w:szCs w:val="28"/>
              </w:rPr>
            </w:pPr>
            <w:r>
              <w:rPr>
                <w:rFonts w:hint="eastAsia" w:ascii="仿宋" w:hAnsi="仿宋" w:eastAsia="仿宋" w:cs="仿宋"/>
                <w:sz w:val="28"/>
                <w:szCs w:val="28"/>
              </w:rPr>
              <w:t>终端安全产品协助方案</w:t>
            </w:r>
          </w:p>
        </w:tc>
        <w:tc>
          <w:tcPr>
            <w:tcW w:w="981" w:type="dxa"/>
            <w:vAlign w:val="center"/>
          </w:tcPr>
          <w:p w14:paraId="52A76604">
            <w:pPr>
              <w:pStyle w:val="6"/>
              <w:spacing w:before="100" w:line="224" w:lineRule="auto"/>
              <w:ind w:left="136"/>
              <w:jc w:val="center"/>
              <w:rPr>
                <w:spacing w:val="-8"/>
              </w:rPr>
            </w:pPr>
            <w:r>
              <w:rPr>
                <w:rFonts w:hint="eastAsia" w:ascii="仿宋" w:hAnsi="仿宋" w:eastAsia="仿宋" w:cs="仿宋"/>
                <w:sz w:val="28"/>
                <w:szCs w:val="28"/>
              </w:rPr>
              <w:t>8分</w:t>
            </w:r>
          </w:p>
        </w:tc>
        <w:tc>
          <w:tcPr>
            <w:tcW w:w="7026" w:type="dxa"/>
            <w:shd w:val="clear" w:color="auto" w:fill="auto"/>
            <w:vAlign w:val="center"/>
          </w:tcPr>
          <w:p w14:paraId="126EABEF">
            <w:pPr>
              <w:pStyle w:val="7"/>
              <w:ind w:left="0" w:leftChars="0"/>
              <w:jc w:val="both"/>
              <w:rPr>
                <w:rFonts w:hint="eastAsia" w:ascii="仿宋" w:hAnsi="仿宋" w:eastAsia="仿宋" w:cs="仿宋"/>
                <w:sz w:val="28"/>
                <w:szCs w:val="28"/>
              </w:rPr>
            </w:pPr>
            <w:r>
              <w:rPr>
                <w:rFonts w:hint="eastAsia" w:ascii="仿宋" w:hAnsi="仿宋" w:eastAsia="仿宋" w:cs="仿宋"/>
                <w:sz w:val="28"/>
                <w:szCs w:val="28"/>
              </w:rPr>
              <w:t>处理流程、对接机制完善得6-8分；有基础方案得3-5分；无具体措施得0-2分。</w:t>
            </w:r>
          </w:p>
        </w:tc>
      </w:tr>
      <w:tr w14:paraId="337A1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6" w:hRule="atLeast"/>
        </w:trPr>
        <w:tc>
          <w:tcPr>
            <w:tcW w:w="984" w:type="dxa"/>
            <w:vAlign w:val="center"/>
          </w:tcPr>
          <w:p w14:paraId="2ACE4648">
            <w:pPr>
              <w:pStyle w:val="6"/>
              <w:spacing w:before="100" w:line="408" w:lineRule="exact"/>
              <w:ind w:left="132"/>
              <w:jc w:val="center"/>
              <w:rPr>
                <w:rFonts w:hint="eastAsia" w:eastAsia="仿宋"/>
                <w:position w:val="2"/>
                <w:lang w:val="en-US" w:eastAsia="zh-CN"/>
              </w:rPr>
            </w:pPr>
            <w:r>
              <w:rPr>
                <w:rFonts w:hint="eastAsia"/>
                <w:position w:val="2"/>
                <w:lang w:val="en-US" w:eastAsia="zh-CN"/>
              </w:rPr>
              <w:t>6</w:t>
            </w:r>
          </w:p>
        </w:tc>
        <w:tc>
          <w:tcPr>
            <w:tcW w:w="1499" w:type="dxa"/>
            <w:shd w:val="clear" w:color="auto" w:fill="auto"/>
            <w:vAlign w:val="center"/>
          </w:tcPr>
          <w:p w14:paraId="062FCBE1">
            <w:pPr>
              <w:pStyle w:val="7"/>
              <w:ind w:left="0" w:leftChars="0"/>
              <w:jc w:val="center"/>
              <w:rPr>
                <w:rFonts w:hint="eastAsia" w:ascii="仿宋" w:hAnsi="仿宋" w:eastAsia="仿宋" w:cs="仿宋"/>
                <w:sz w:val="28"/>
                <w:szCs w:val="28"/>
              </w:rPr>
            </w:pPr>
            <w:r>
              <w:rPr>
                <w:rFonts w:hint="eastAsia" w:ascii="仿宋" w:hAnsi="仿宋" w:eastAsia="仿宋" w:cs="仿宋"/>
                <w:sz w:val="28"/>
                <w:szCs w:val="28"/>
              </w:rPr>
              <w:t>系统与数据备份恢复方案</w:t>
            </w:r>
          </w:p>
        </w:tc>
        <w:tc>
          <w:tcPr>
            <w:tcW w:w="981" w:type="dxa"/>
            <w:vAlign w:val="center"/>
          </w:tcPr>
          <w:p w14:paraId="1C0BAF6D">
            <w:pPr>
              <w:pStyle w:val="6"/>
              <w:spacing w:before="100" w:line="224" w:lineRule="auto"/>
              <w:ind w:left="136"/>
              <w:jc w:val="center"/>
              <w:rPr>
                <w:spacing w:val="-8"/>
              </w:rPr>
            </w:pPr>
            <w:r>
              <w:rPr>
                <w:rFonts w:hint="eastAsia" w:ascii="仿宋" w:hAnsi="仿宋" w:eastAsia="仿宋" w:cs="仿宋"/>
                <w:sz w:val="28"/>
                <w:szCs w:val="28"/>
              </w:rPr>
              <w:t>7分</w:t>
            </w:r>
          </w:p>
        </w:tc>
        <w:tc>
          <w:tcPr>
            <w:tcW w:w="7026" w:type="dxa"/>
            <w:shd w:val="clear" w:color="auto" w:fill="auto"/>
            <w:vAlign w:val="center"/>
          </w:tcPr>
          <w:p w14:paraId="30505670">
            <w:pPr>
              <w:pStyle w:val="7"/>
              <w:ind w:left="0" w:leftChars="0"/>
              <w:jc w:val="both"/>
              <w:rPr>
                <w:rFonts w:hint="eastAsia" w:ascii="仿宋" w:hAnsi="仿宋" w:eastAsia="仿宋" w:cs="仿宋"/>
                <w:sz w:val="28"/>
                <w:szCs w:val="28"/>
              </w:rPr>
            </w:pPr>
            <w:r>
              <w:rPr>
                <w:rFonts w:hint="eastAsia" w:ascii="仿宋" w:hAnsi="仿宋" w:eastAsia="仿宋" w:cs="仿宋"/>
                <w:sz w:val="28"/>
                <w:szCs w:val="28"/>
              </w:rPr>
              <w:t>应急流程、验证方案严谨得6-7分；可应对常规故障得3-5分；无方案得0-2分。</w:t>
            </w:r>
          </w:p>
        </w:tc>
      </w:tr>
      <w:tr w14:paraId="7FC3B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984" w:type="dxa"/>
            <w:vAlign w:val="center"/>
          </w:tcPr>
          <w:p w14:paraId="4ACF6E15">
            <w:pPr>
              <w:pStyle w:val="6"/>
              <w:spacing w:before="100" w:line="408" w:lineRule="exact"/>
              <w:ind w:left="132"/>
              <w:jc w:val="center"/>
              <w:rPr>
                <w:rFonts w:hint="eastAsia" w:eastAsia="仿宋"/>
                <w:position w:val="2"/>
                <w:lang w:val="en-US" w:eastAsia="zh-CN"/>
              </w:rPr>
            </w:pPr>
            <w:r>
              <w:rPr>
                <w:rFonts w:hint="eastAsia"/>
                <w:position w:val="2"/>
                <w:lang w:val="en-US" w:eastAsia="zh-CN"/>
              </w:rPr>
              <w:t>7</w:t>
            </w:r>
          </w:p>
        </w:tc>
        <w:tc>
          <w:tcPr>
            <w:tcW w:w="1499" w:type="dxa"/>
            <w:shd w:val="clear" w:color="auto" w:fill="auto"/>
            <w:vAlign w:val="center"/>
          </w:tcPr>
          <w:p w14:paraId="3E44C0BD">
            <w:pPr>
              <w:pStyle w:val="7"/>
              <w:ind w:left="0" w:leftChars="0"/>
              <w:jc w:val="center"/>
              <w:rPr>
                <w:rFonts w:hint="eastAsia" w:ascii="仿宋" w:hAnsi="仿宋" w:eastAsia="仿宋" w:cs="仿宋"/>
                <w:sz w:val="28"/>
                <w:szCs w:val="28"/>
              </w:rPr>
            </w:pPr>
            <w:r>
              <w:rPr>
                <w:rFonts w:hint="eastAsia" w:ascii="仿宋" w:hAnsi="仿宋" w:eastAsia="仿宋" w:cs="仿宋"/>
                <w:sz w:val="28"/>
                <w:szCs w:val="28"/>
              </w:rPr>
              <w:t>服务团队配置</w:t>
            </w:r>
          </w:p>
        </w:tc>
        <w:tc>
          <w:tcPr>
            <w:tcW w:w="981" w:type="dxa"/>
            <w:vAlign w:val="center"/>
          </w:tcPr>
          <w:p w14:paraId="03501B4B">
            <w:pPr>
              <w:pStyle w:val="6"/>
              <w:spacing w:before="100" w:line="224" w:lineRule="auto"/>
              <w:ind w:left="136"/>
              <w:jc w:val="center"/>
              <w:rPr>
                <w:spacing w:val="-8"/>
              </w:rPr>
            </w:pPr>
            <w:r>
              <w:rPr>
                <w:rFonts w:hint="eastAsia" w:ascii="仿宋" w:hAnsi="仿宋" w:eastAsia="仿宋" w:cs="仿宋"/>
                <w:sz w:val="28"/>
                <w:szCs w:val="28"/>
              </w:rPr>
              <w:t>3分</w:t>
            </w:r>
          </w:p>
        </w:tc>
        <w:tc>
          <w:tcPr>
            <w:tcW w:w="7026" w:type="dxa"/>
            <w:shd w:val="clear" w:color="auto" w:fill="auto"/>
            <w:vAlign w:val="center"/>
          </w:tcPr>
          <w:p w14:paraId="73404EA6">
            <w:pPr>
              <w:pStyle w:val="7"/>
              <w:ind w:left="0" w:leftChars="0"/>
              <w:jc w:val="both"/>
              <w:rPr>
                <w:rFonts w:hint="eastAsia" w:ascii="仿宋" w:hAnsi="仿宋" w:eastAsia="仿宋" w:cs="仿宋"/>
                <w:sz w:val="28"/>
                <w:szCs w:val="28"/>
              </w:rPr>
            </w:pPr>
            <w:r>
              <w:rPr>
                <w:rFonts w:hint="eastAsia" w:ascii="仿宋" w:hAnsi="仿宋" w:eastAsia="仿宋" w:cs="仿宋"/>
                <w:sz w:val="28"/>
                <w:szCs w:val="28"/>
              </w:rPr>
              <w:t>配备专职经验运维人员得3分；团队配置不完善得0-2分。</w:t>
            </w:r>
          </w:p>
        </w:tc>
      </w:tr>
    </w:tbl>
    <w:p w14:paraId="1DD7C5C8">
      <w:pPr>
        <w:rPr>
          <w:rFonts w:ascii="Arial"/>
          <w:sz w:val="21"/>
        </w:rPr>
      </w:pPr>
    </w:p>
    <w:sectPr>
      <w:footerReference r:id="rId8" w:type="default"/>
      <w:pgSz w:w="11906" w:h="16838"/>
      <w:pgMar w:top="681" w:right="803" w:bottom="1478" w:left="607" w:header="0" w:footer="12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5AF35">
    <w:pPr>
      <w:spacing w:line="269" w:lineRule="exact"/>
      <w:ind w:left="5730"/>
      <w:rPr>
        <w:rFonts w:ascii="等线" w:hAnsi="等线" w:eastAsia="等线" w:cs="等线"/>
        <w:sz w:val="18"/>
        <w:szCs w:val="18"/>
      </w:rPr>
    </w:pPr>
    <w:r>
      <w:rPr>
        <w:rFonts w:ascii="等线" w:hAnsi="等线" w:eastAsia="等线" w:cs="等线"/>
        <w:position w:val="3"/>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B2CB5">
    <w:pPr>
      <w:spacing w:line="269" w:lineRule="exact"/>
      <w:ind w:left="5726"/>
      <w:rPr>
        <w:rFonts w:ascii="等线" w:hAnsi="等线" w:eastAsia="等线" w:cs="等线"/>
        <w:sz w:val="18"/>
        <w:szCs w:val="18"/>
      </w:rPr>
    </w:pPr>
    <w:r>
      <w:rPr>
        <w:rFonts w:ascii="等线" w:hAnsi="等线" w:eastAsia="等线" w:cs="等线"/>
        <w:position w:val="3"/>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7F17">
    <w:pPr>
      <w:spacing w:line="268" w:lineRule="exact"/>
      <w:ind w:left="5724"/>
      <w:rPr>
        <w:rFonts w:ascii="等线" w:hAnsi="等线" w:eastAsia="等线" w:cs="等线"/>
        <w:sz w:val="18"/>
        <w:szCs w:val="18"/>
      </w:rPr>
    </w:pPr>
    <w:r>
      <w:rPr>
        <w:rFonts w:ascii="等线" w:hAnsi="等线" w:eastAsia="等线" w:cs="等线"/>
        <w:position w:val="3"/>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A89AC">
    <w:pPr>
      <w:spacing w:line="268" w:lineRule="exact"/>
      <w:ind w:left="5727"/>
      <w:rPr>
        <w:rFonts w:ascii="等线" w:hAnsi="等线" w:eastAsia="等线" w:cs="等线"/>
        <w:sz w:val="18"/>
        <w:szCs w:val="18"/>
      </w:rPr>
    </w:pPr>
    <w:r>
      <w:rPr>
        <w:rFonts w:ascii="等线" w:hAnsi="等线" w:eastAsia="等线" w:cs="等线"/>
        <w:position w:val="3"/>
        <w:sz w:val="18"/>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D01A90"/>
    <w:multiLevelType w:val="singleLevel"/>
    <w:tmpl w:val="6ED01A9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7474340"/>
    <w:rsid w:val="3BB40CE0"/>
    <w:rsid w:val="585B4645"/>
    <w:rsid w:val="596354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小标宋_GBK" w:hAnsi="方正小标宋_GBK" w:eastAsia="方正小标宋_GBK" w:cs="方正小标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31"/>
      <w:szCs w:val="31"/>
      <w:lang w:val="en-US" w:eastAsia="en-US" w:bidi="ar-SA"/>
    </w:rPr>
  </w:style>
  <w:style w:type="paragraph" w:customStyle="1" w:styleId="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1351</Words>
  <Characters>1423</Characters>
  <TotalTime>13</TotalTime>
  <ScaleCrop>false</ScaleCrop>
  <LinksUpToDate>false</LinksUpToDate>
  <CharactersWithSpaces>1456</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2026-05-20T03:37:00Z</dcterms:created>
  <dc:creator>Administrator</dc:creator>
  <cp:lastModifiedBy>道长</cp:lastModifiedBy>
  <cp:lastPrinted>2026-05-20T04:13:00Z</cp:lastPrinted>
  <dcterms:modified xsi:type="dcterms:W3CDTF">2026-07-30T08:58:31Z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2026-05-20T11:37:42Z</vt:filetime>
  </property>
  <property fmtid="{D5CDD505-2E9C-101B-9397-08002B2CF9AE}" pid="4" name="KSOTemplateDocerSaveRecord">
    <vt:lpwstr>eyJoZGlkIjoiMmY0MzczOWYzYjNlNTc4ZTg4NTNhY2JmNDkzNmE3N2QiLCJ1c2VySWQiOiIxNTE3NTczNzEzIn0=</vt:lpwstr>
  </property>
  <property fmtid="{D5CDD505-2E9C-101B-9397-08002B2CF9AE}" pid="5" name="KSOProductBuildVer">
    <vt:lpwstr>2052-12.1.0.26884</vt:lpwstr>
  </property>
  <property fmtid="{D5CDD505-2E9C-101B-9397-08002B2CF9AE}" pid="6" name="ICV">
    <vt:lpwstr>F14C929A149C42088D90914F06E19C82_12</vt:lpwstr>
  </property>
</Properties>
</file>