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6DC424">
      <w:pPr>
        <w:spacing w:before="75" w:line="235" w:lineRule="auto"/>
        <w:ind w:left="138"/>
        <w:rPr>
          <w:rFonts w:ascii="方正小标宋_GBK" w:hAnsi="方正小标宋_GBK" w:eastAsia="方正小标宋_GBK" w:cs="方正小标宋_GBK"/>
          <w:sz w:val="31"/>
          <w:szCs w:val="31"/>
        </w:rPr>
      </w:pPr>
      <w:r>
        <w:rPr>
          <w:rFonts w:ascii="方正小标宋_GBK" w:hAnsi="方正小标宋_GBK" w:eastAsia="方正小标宋_GBK" w:cs="方正小标宋_GBK"/>
          <w:spacing w:val="-5"/>
          <w:sz w:val="31"/>
          <w:szCs w:val="31"/>
        </w:rPr>
        <w:t>1</w:t>
      </w:r>
      <w:r>
        <w:rPr>
          <w:rFonts w:ascii="方正小标宋_GBK" w:hAnsi="方正小标宋_GBK" w:eastAsia="方正小标宋_GBK" w:cs="方正小标宋_GBK"/>
          <w:spacing w:val="-30"/>
          <w:sz w:val="31"/>
          <w:szCs w:val="31"/>
        </w:rPr>
        <w:t xml:space="preserve"> </w:t>
      </w:r>
      <w:r>
        <w:rPr>
          <w:rFonts w:ascii="方正小标宋_GBK" w:hAnsi="方正小标宋_GBK" w:eastAsia="方正小标宋_GBK" w:cs="方正小标宋_GBK"/>
          <w:spacing w:val="-5"/>
          <w:sz w:val="31"/>
          <w:szCs w:val="31"/>
        </w:rPr>
        <w:t>、</w:t>
      </w:r>
      <w:r>
        <w:rPr>
          <w:rFonts w:ascii="方正小标宋_GBK" w:hAnsi="方正小标宋_GBK" w:eastAsia="方正小标宋_GBK" w:cs="方正小标宋_GBK"/>
          <w:spacing w:val="16"/>
          <w:sz w:val="31"/>
          <w:szCs w:val="31"/>
        </w:rPr>
        <w:t xml:space="preserve">    </w:t>
      </w:r>
      <w:r>
        <w:rPr>
          <w:rFonts w:ascii="方正小标宋_GBK" w:hAnsi="方正小标宋_GBK" w:eastAsia="方正小标宋_GBK" w:cs="方正小标宋_GBK"/>
          <w:spacing w:val="-5"/>
          <w:sz w:val="31"/>
          <w:szCs w:val="31"/>
        </w:rPr>
        <w:t>资格审查：</w:t>
      </w:r>
    </w:p>
    <w:p w14:paraId="09BB6B42">
      <w:pPr>
        <w:spacing w:before="8"/>
      </w:pPr>
    </w:p>
    <w:p w14:paraId="188A85E9">
      <w:pPr>
        <w:spacing w:before="8"/>
      </w:pPr>
    </w:p>
    <w:tbl>
      <w:tblPr>
        <w:tblStyle w:val="5"/>
        <w:tblW w:w="1068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9679"/>
      </w:tblGrid>
      <w:tr w14:paraId="5C2DCF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1" w:hRule="atLeast"/>
        </w:trPr>
        <w:tc>
          <w:tcPr>
            <w:tcW w:w="1008" w:type="dxa"/>
            <w:vAlign w:val="top"/>
          </w:tcPr>
          <w:p w14:paraId="31E3F1B2">
            <w:pPr>
              <w:pStyle w:val="6"/>
              <w:spacing w:before="191" w:line="222" w:lineRule="auto"/>
              <w:ind w:left="120"/>
            </w:pPr>
            <w:r>
              <w:rPr>
                <w:spacing w:val="2"/>
              </w:rPr>
              <w:t>评价</w:t>
            </w:r>
          </w:p>
          <w:p w14:paraId="2A8D5479">
            <w:pPr>
              <w:pStyle w:val="6"/>
              <w:spacing w:before="202" w:line="224" w:lineRule="auto"/>
              <w:ind w:left="124"/>
            </w:pPr>
            <w:r>
              <w:t>项目</w:t>
            </w:r>
          </w:p>
        </w:tc>
        <w:tc>
          <w:tcPr>
            <w:tcW w:w="9679" w:type="dxa"/>
            <w:vAlign w:val="top"/>
          </w:tcPr>
          <w:p w14:paraId="2B9B717E">
            <w:pPr>
              <w:spacing w:line="376" w:lineRule="auto"/>
              <w:rPr>
                <w:rFonts w:ascii="Arial"/>
                <w:sz w:val="21"/>
              </w:rPr>
            </w:pPr>
          </w:p>
          <w:p w14:paraId="5ABE05C9">
            <w:pPr>
              <w:pStyle w:val="6"/>
              <w:spacing w:before="100" w:line="222" w:lineRule="auto"/>
              <w:ind w:left="777"/>
            </w:pPr>
            <w:r>
              <w:rPr>
                <w:spacing w:val="5"/>
              </w:rPr>
              <w:t>审查因素及内容</w:t>
            </w:r>
          </w:p>
        </w:tc>
      </w:tr>
      <w:tr w14:paraId="00B51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8" w:hRule="atLeast"/>
        </w:trPr>
        <w:tc>
          <w:tcPr>
            <w:tcW w:w="1008" w:type="dxa"/>
            <w:vAlign w:val="top"/>
          </w:tcPr>
          <w:p w14:paraId="295DE655">
            <w:pPr>
              <w:spacing w:line="245" w:lineRule="auto"/>
              <w:rPr>
                <w:rFonts w:ascii="Arial"/>
                <w:sz w:val="21"/>
              </w:rPr>
            </w:pPr>
          </w:p>
          <w:p w14:paraId="723C6F74">
            <w:pPr>
              <w:spacing w:line="245" w:lineRule="auto"/>
              <w:rPr>
                <w:rFonts w:ascii="Arial"/>
                <w:sz w:val="21"/>
              </w:rPr>
            </w:pPr>
          </w:p>
          <w:p w14:paraId="1F9300E7">
            <w:pPr>
              <w:spacing w:line="245" w:lineRule="auto"/>
              <w:rPr>
                <w:rFonts w:ascii="Arial"/>
                <w:sz w:val="21"/>
              </w:rPr>
            </w:pPr>
          </w:p>
          <w:p w14:paraId="12F71BF6">
            <w:pPr>
              <w:spacing w:line="245" w:lineRule="auto"/>
              <w:rPr>
                <w:rFonts w:ascii="Arial"/>
                <w:sz w:val="21"/>
              </w:rPr>
            </w:pPr>
          </w:p>
          <w:p w14:paraId="093B317D">
            <w:pPr>
              <w:spacing w:line="245" w:lineRule="auto"/>
              <w:rPr>
                <w:rFonts w:ascii="Arial"/>
                <w:sz w:val="21"/>
              </w:rPr>
            </w:pPr>
          </w:p>
          <w:p w14:paraId="69DB830F">
            <w:pPr>
              <w:spacing w:line="245" w:lineRule="auto"/>
              <w:rPr>
                <w:rFonts w:ascii="Arial"/>
                <w:sz w:val="21"/>
              </w:rPr>
            </w:pPr>
          </w:p>
          <w:p w14:paraId="288C0D31">
            <w:pPr>
              <w:spacing w:line="245" w:lineRule="auto"/>
              <w:rPr>
                <w:rFonts w:ascii="Arial"/>
                <w:sz w:val="21"/>
              </w:rPr>
            </w:pPr>
          </w:p>
          <w:p w14:paraId="2812AB4F">
            <w:pPr>
              <w:spacing w:line="245" w:lineRule="auto"/>
              <w:rPr>
                <w:rFonts w:ascii="Arial"/>
                <w:sz w:val="21"/>
              </w:rPr>
            </w:pPr>
          </w:p>
          <w:p w14:paraId="6D16C461">
            <w:pPr>
              <w:spacing w:line="245" w:lineRule="auto"/>
              <w:rPr>
                <w:rFonts w:ascii="Arial"/>
                <w:sz w:val="21"/>
              </w:rPr>
            </w:pPr>
          </w:p>
          <w:p w14:paraId="36EDA74D">
            <w:pPr>
              <w:spacing w:line="245" w:lineRule="auto"/>
              <w:rPr>
                <w:rFonts w:ascii="Arial"/>
                <w:sz w:val="21"/>
              </w:rPr>
            </w:pPr>
          </w:p>
          <w:p w14:paraId="4C5C341D">
            <w:pPr>
              <w:spacing w:line="245" w:lineRule="auto"/>
              <w:rPr>
                <w:rFonts w:ascii="Arial"/>
                <w:sz w:val="21"/>
              </w:rPr>
            </w:pPr>
          </w:p>
          <w:p w14:paraId="4483DD95">
            <w:pPr>
              <w:spacing w:line="245" w:lineRule="auto"/>
              <w:rPr>
                <w:rFonts w:ascii="Arial"/>
                <w:sz w:val="21"/>
              </w:rPr>
            </w:pPr>
          </w:p>
          <w:p w14:paraId="33B2D3C4">
            <w:pPr>
              <w:spacing w:line="246" w:lineRule="auto"/>
              <w:rPr>
                <w:rFonts w:ascii="Arial"/>
                <w:sz w:val="21"/>
              </w:rPr>
            </w:pPr>
          </w:p>
          <w:p w14:paraId="1C4C3719">
            <w:pPr>
              <w:spacing w:line="246" w:lineRule="auto"/>
              <w:rPr>
                <w:rFonts w:ascii="Arial"/>
                <w:sz w:val="21"/>
              </w:rPr>
            </w:pPr>
          </w:p>
          <w:p w14:paraId="18923169">
            <w:pPr>
              <w:spacing w:line="246" w:lineRule="auto"/>
              <w:rPr>
                <w:rFonts w:ascii="Arial"/>
                <w:sz w:val="21"/>
              </w:rPr>
            </w:pPr>
          </w:p>
          <w:p w14:paraId="240519C9">
            <w:pPr>
              <w:spacing w:line="246" w:lineRule="auto"/>
              <w:rPr>
                <w:rFonts w:ascii="Arial"/>
                <w:sz w:val="21"/>
              </w:rPr>
            </w:pPr>
          </w:p>
          <w:p w14:paraId="7A0F14DE">
            <w:pPr>
              <w:spacing w:line="246" w:lineRule="auto"/>
              <w:rPr>
                <w:rFonts w:ascii="Arial"/>
                <w:sz w:val="21"/>
              </w:rPr>
            </w:pPr>
          </w:p>
          <w:p w14:paraId="5A9428FE">
            <w:pPr>
              <w:spacing w:line="246" w:lineRule="auto"/>
              <w:rPr>
                <w:rFonts w:ascii="Arial"/>
                <w:sz w:val="21"/>
              </w:rPr>
            </w:pPr>
          </w:p>
          <w:p w14:paraId="48A5C6B3">
            <w:pPr>
              <w:spacing w:line="246" w:lineRule="auto"/>
              <w:rPr>
                <w:rFonts w:ascii="Arial"/>
                <w:sz w:val="21"/>
              </w:rPr>
            </w:pPr>
          </w:p>
          <w:p w14:paraId="3FB0964B">
            <w:pPr>
              <w:pStyle w:val="6"/>
              <w:spacing w:before="101" w:line="344" w:lineRule="auto"/>
              <w:ind w:left="117" w:right="256" w:firstLine="16"/>
              <w:jc w:val="both"/>
            </w:pPr>
            <w:r>
              <w:rPr>
                <w:spacing w:val="-4"/>
              </w:rPr>
              <w:t>资格</w:t>
            </w:r>
            <w:r>
              <w:rPr>
                <w:spacing w:val="4"/>
              </w:rPr>
              <w:t>审查标准</w:t>
            </w:r>
          </w:p>
        </w:tc>
        <w:tc>
          <w:tcPr>
            <w:tcW w:w="9679" w:type="dxa"/>
            <w:vAlign w:val="top"/>
          </w:tcPr>
          <w:p w14:paraId="3A4CFC82">
            <w:pPr>
              <w:pStyle w:val="6"/>
              <w:spacing w:before="185" w:line="222" w:lineRule="auto"/>
              <w:ind w:left="776"/>
            </w:pPr>
            <w:r>
              <w:rPr>
                <w:spacing w:val="8"/>
              </w:rPr>
              <w:t>1、满足《中华人民共和国政府采购法》第二十二条规定；</w:t>
            </w:r>
          </w:p>
          <w:p w14:paraId="09EA6734">
            <w:pPr>
              <w:pStyle w:val="6"/>
              <w:spacing w:before="203" w:line="343" w:lineRule="auto"/>
              <w:ind w:left="123" w:right="134" w:firstLine="625"/>
            </w:pPr>
            <w:r>
              <w:rPr>
                <w:spacing w:val="7"/>
              </w:rPr>
              <w:t>（</w:t>
            </w:r>
            <w:r>
              <w:rPr>
                <w:spacing w:val="-79"/>
              </w:rPr>
              <w:t xml:space="preserve"> </w:t>
            </w:r>
            <w:r>
              <w:rPr>
                <w:spacing w:val="7"/>
              </w:rPr>
              <w:t>1）具有独立承担民事责任的能力（提供合法</w:t>
            </w:r>
            <w:r>
              <w:rPr>
                <w:spacing w:val="6"/>
              </w:rPr>
              <w:t>有效的法人营业</w:t>
            </w:r>
            <w:r>
              <w:rPr>
                <w:spacing w:val="21"/>
              </w:rPr>
              <w:t>执照</w:t>
            </w:r>
            <w:r>
              <w:rPr>
                <w:spacing w:val="-81"/>
              </w:rPr>
              <w:t>）；</w:t>
            </w:r>
          </w:p>
          <w:p w14:paraId="5427D272">
            <w:pPr>
              <w:pStyle w:val="6"/>
              <w:spacing w:before="4" w:line="342" w:lineRule="auto"/>
              <w:ind w:left="141" w:right="134" w:firstLine="606"/>
            </w:pPr>
            <w:r>
              <w:rPr>
                <w:spacing w:val="7"/>
              </w:rPr>
              <w:t>（</w:t>
            </w:r>
            <w:r>
              <w:rPr>
                <w:spacing w:val="-86"/>
              </w:rPr>
              <w:t xml:space="preserve"> </w:t>
            </w:r>
            <w:r>
              <w:rPr>
                <w:spacing w:val="7"/>
              </w:rPr>
              <w:t>2）具有良好的商业信誉和健全的财务会计制度（提供经会计</w:t>
            </w:r>
            <w:r>
              <w:rPr>
                <w:spacing w:val="8"/>
              </w:rPr>
              <w:t>师事务所审计的财务审计报告/财务报表/财务会计制度或工商部门</w:t>
            </w:r>
            <w:r>
              <w:rPr>
                <w:spacing w:val="5"/>
              </w:rPr>
              <w:t>出具的其他证明材料</w:t>
            </w:r>
            <w:r>
              <w:rPr>
                <w:spacing w:val="-73"/>
              </w:rPr>
              <w:t>）；</w:t>
            </w:r>
          </w:p>
          <w:p w14:paraId="23201063">
            <w:pPr>
              <w:pStyle w:val="6"/>
              <w:spacing w:line="221" w:lineRule="auto"/>
              <w:jc w:val="right"/>
            </w:pPr>
            <w:r>
              <w:rPr>
                <w:spacing w:val="-4"/>
              </w:rPr>
              <w:t>（</w:t>
            </w:r>
            <w:r>
              <w:rPr>
                <w:spacing w:val="-71"/>
              </w:rPr>
              <w:t xml:space="preserve"> </w:t>
            </w:r>
            <w:r>
              <w:rPr>
                <w:spacing w:val="-4"/>
              </w:rPr>
              <w:t>3）具有履行合同所必需的设备和专业技术能力（提供承</w:t>
            </w:r>
            <w:r>
              <w:rPr>
                <w:spacing w:val="-5"/>
              </w:rPr>
              <w:t>诺书</w:t>
            </w:r>
            <w:r>
              <w:rPr>
                <w:spacing w:val="-77"/>
                <w:w w:val="88"/>
              </w:rPr>
              <w:t>）；</w:t>
            </w:r>
          </w:p>
          <w:p w14:paraId="56B06D26">
            <w:pPr>
              <w:pStyle w:val="6"/>
              <w:spacing w:before="204" w:line="343" w:lineRule="auto"/>
              <w:ind w:left="124" w:right="134" w:firstLine="624"/>
            </w:pPr>
            <w:r>
              <w:rPr>
                <w:spacing w:val="7"/>
              </w:rPr>
              <w:t>（</w:t>
            </w:r>
            <w:r>
              <w:rPr>
                <w:spacing w:val="-86"/>
              </w:rPr>
              <w:t xml:space="preserve"> </w:t>
            </w:r>
            <w:r>
              <w:rPr>
                <w:spacing w:val="7"/>
              </w:rPr>
              <w:t>4）有依法缴纳税收和社会保障资金的良好记录（提供依法缴</w:t>
            </w:r>
            <w:r>
              <w:rPr>
                <w:spacing w:val="8"/>
              </w:rPr>
              <w:t>纳税收、社保的相关证明材料</w:t>
            </w:r>
            <w:r>
              <w:rPr>
                <w:spacing w:val="-73"/>
              </w:rPr>
              <w:t>）；</w:t>
            </w:r>
          </w:p>
          <w:p w14:paraId="7C41BD63">
            <w:pPr>
              <w:pStyle w:val="6"/>
              <w:spacing w:before="1" w:line="343" w:lineRule="auto"/>
              <w:ind w:left="123" w:right="134" w:firstLine="625"/>
            </w:pPr>
            <w:r>
              <w:rPr>
                <w:spacing w:val="7"/>
              </w:rPr>
              <w:t>（</w:t>
            </w:r>
            <w:r>
              <w:rPr>
                <w:spacing w:val="-82"/>
              </w:rPr>
              <w:t xml:space="preserve"> </w:t>
            </w:r>
            <w:r>
              <w:rPr>
                <w:spacing w:val="7"/>
              </w:rPr>
              <w:t>5）参加政府采购活动前三年内，在经营活动中没有</w:t>
            </w:r>
            <w:r>
              <w:rPr>
                <w:spacing w:val="6"/>
              </w:rPr>
              <w:t>重大违法</w:t>
            </w:r>
            <w:r>
              <w:rPr>
                <w:spacing w:val="9"/>
              </w:rPr>
              <w:t>记录（提供信用中国、中国政府采购网等相关信用网站查询截图</w:t>
            </w:r>
            <w:r>
              <w:rPr>
                <w:spacing w:val="-77"/>
                <w:w w:val="89"/>
              </w:rPr>
              <w:t>）；</w:t>
            </w:r>
          </w:p>
          <w:p w14:paraId="4E5FE14C">
            <w:pPr>
              <w:pStyle w:val="6"/>
              <w:spacing w:line="221" w:lineRule="auto"/>
              <w:ind w:left="748"/>
            </w:pPr>
            <w:r>
              <w:rPr>
                <w:spacing w:val="6"/>
              </w:rPr>
              <w:t>（</w:t>
            </w:r>
            <w:r>
              <w:rPr>
                <w:spacing w:val="-83"/>
              </w:rPr>
              <w:t xml:space="preserve"> </w:t>
            </w:r>
            <w:r>
              <w:rPr>
                <w:spacing w:val="6"/>
              </w:rPr>
              <w:t>6）法律、行政法规规定的其他条件（提供承诺书</w:t>
            </w:r>
            <w:r>
              <w:rPr>
                <w:spacing w:val="-55"/>
              </w:rPr>
              <w:t>）；</w:t>
            </w:r>
          </w:p>
          <w:p w14:paraId="25DF4299">
            <w:pPr>
              <w:pStyle w:val="6"/>
              <w:spacing w:before="206" w:line="222" w:lineRule="auto"/>
              <w:ind w:left="768"/>
            </w:pPr>
            <w:r>
              <w:rPr>
                <w:spacing w:val="7"/>
              </w:rPr>
              <w:t>2、落实政府采购政策需满足的资格要求：</w:t>
            </w:r>
          </w:p>
          <w:p w14:paraId="3E11CA41">
            <w:pPr>
              <w:pStyle w:val="6"/>
              <w:spacing w:before="202" w:line="343" w:lineRule="auto"/>
              <w:ind w:left="119" w:firstLine="626"/>
            </w:pPr>
            <w:r>
              <w:rPr>
                <w:spacing w:val="-9"/>
              </w:rPr>
              <w:t>（</w:t>
            </w:r>
            <w:r>
              <w:rPr>
                <w:spacing w:val="-79"/>
              </w:rPr>
              <w:t xml:space="preserve"> </w:t>
            </w:r>
            <w:r>
              <w:rPr>
                <w:spacing w:val="-9"/>
              </w:rPr>
              <w:t>1）执行《政府采购促进中小企业发展管理办法》（财库</w:t>
            </w:r>
            <w:r>
              <w:rPr>
                <w:spacing w:val="-10"/>
              </w:rPr>
              <w:t>〔2020〕</w:t>
            </w:r>
            <w:r>
              <w:t xml:space="preserve"> </w:t>
            </w:r>
            <w:r>
              <w:rPr>
                <w:spacing w:val="7"/>
              </w:rPr>
              <w:t>46</w:t>
            </w:r>
            <w:r>
              <w:rPr>
                <w:spacing w:val="-48"/>
              </w:rPr>
              <w:t xml:space="preserve"> </w:t>
            </w:r>
            <w:r>
              <w:rPr>
                <w:spacing w:val="7"/>
              </w:rPr>
              <w:t>号）和《财政部关于进一步加大政府采购支持</w:t>
            </w:r>
            <w:r>
              <w:rPr>
                <w:spacing w:val="6"/>
              </w:rPr>
              <w:t>中小企业力度的通</w:t>
            </w:r>
            <w:r>
              <w:rPr>
                <w:spacing w:val="-5"/>
              </w:rPr>
              <w:t>知》（财库〔2022〕19</w:t>
            </w:r>
            <w:r>
              <w:rPr>
                <w:spacing w:val="-52"/>
              </w:rPr>
              <w:t xml:space="preserve"> </w:t>
            </w:r>
            <w:r>
              <w:rPr>
                <w:spacing w:val="-5"/>
              </w:rPr>
              <w:t>号</w:t>
            </w:r>
            <w:r>
              <w:rPr>
                <w:spacing w:val="-79"/>
              </w:rPr>
              <w:t>）；</w:t>
            </w:r>
          </w:p>
          <w:p w14:paraId="4F78177A">
            <w:pPr>
              <w:pStyle w:val="6"/>
              <w:spacing w:line="343" w:lineRule="auto"/>
              <w:ind w:left="129" w:right="131" w:firstLine="619"/>
            </w:pPr>
            <w:r>
              <w:rPr>
                <w:spacing w:val="7"/>
              </w:rPr>
              <w:t>（</w:t>
            </w:r>
            <w:r>
              <w:rPr>
                <w:spacing w:val="-84"/>
              </w:rPr>
              <w:t xml:space="preserve"> </w:t>
            </w:r>
            <w:r>
              <w:rPr>
                <w:spacing w:val="7"/>
              </w:rPr>
              <w:t>2）执行《财政部民政部中国残疾人联合会关于促进残疾人就</w:t>
            </w:r>
            <w:r>
              <w:rPr>
                <w:spacing w:val="1"/>
              </w:rPr>
              <w:t>业政府采购政策的通知》（财库〔2017〕141</w:t>
            </w:r>
            <w:r>
              <w:rPr>
                <w:spacing w:val="-47"/>
              </w:rPr>
              <w:t xml:space="preserve"> </w:t>
            </w:r>
            <w:r>
              <w:rPr>
                <w:spacing w:val="1"/>
              </w:rPr>
              <w:t>号</w:t>
            </w:r>
            <w:r>
              <w:rPr>
                <w:spacing w:val="-77"/>
              </w:rPr>
              <w:t>）；</w:t>
            </w:r>
          </w:p>
          <w:p w14:paraId="14ED93DB">
            <w:pPr>
              <w:pStyle w:val="6"/>
              <w:numPr>
                <w:ilvl w:val="0"/>
                <w:numId w:val="1"/>
              </w:numPr>
              <w:spacing w:before="1" w:line="222" w:lineRule="auto"/>
              <w:ind w:left="781"/>
              <w:rPr>
                <w:spacing w:val="6"/>
              </w:rPr>
            </w:pPr>
            <w:r>
              <w:rPr>
                <w:spacing w:val="6"/>
              </w:rPr>
              <w:t>本项目不接受联合体投标。</w:t>
            </w:r>
          </w:p>
          <w:p w14:paraId="2F21AD21">
            <w:pPr>
              <w:pStyle w:val="6"/>
              <w:numPr>
                <w:ilvl w:val="0"/>
                <w:numId w:val="0"/>
              </w:numPr>
              <w:spacing w:before="1" w:line="222" w:lineRule="auto"/>
              <w:rPr>
                <w:spacing w:val="6"/>
              </w:rPr>
            </w:pPr>
          </w:p>
        </w:tc>
      </w:tr>
    </w:tbl>
    <w:p w14:paraId="0FF5C9BA">
      <w:pPr>
        <w:rPr>
          <w:rFonts w:ascii="Arial"/>
          <w:sz w:val="21"/>
        </w:rPr>
      </w:pPr>
    </w:p>
    <w:p w14:paraId="40ABDEAF">
      <w:pPr>
        <w:rPr>
          <w:rFonts w:ascii="Arial" w:hAnsi="Arial" w:eastAsia="Arial" w:cs="Arial"/>
          <w:sz w:val="21"/>
          <w:szCs w:val="21"/>
        </w:rPr>
        <w:sectPr>
          <w:footerReference r:id="rId5" w:type="default"/>
          <w:pgSz w:w="11906" w:h="16838"/>
          <w:pgMar w:top="788" w:right="606" w:bottom="1478" w:left="607" w:header="0" w:footer="1199" w:gutter="0"/>
          <w:cols w:space="720" w:num="1"/>
        </w:sectPr>
      </w:pPr>
    </w:p>
    <w:p w14:paraId="7CC339E3">
      <w:pPr>
        <w:spacing w:before="74" w:line="197" w:lineRule="auto"/>
        <w:ind w:left="118"/>
        <w:rPr>
          <w:rFonts w:ascii="方正小标宋_GBK" w:hAnsi="方正小标宋_GBK" w:eastAsia="方正小标宋_GBK" w:cs="方正小标宋_GBK"/>
          <w:sz w:val="31"/>
          <w:szCs w:val="31"/>
        </w:rPr>
      </w:pPr>
      <w:r>
        <w:rPr>
          <w:rFonts w:ascii="方正小标宋_GBK" w:hAnsi="方正小标宋_GBK" w:eastAsia="方正小标宋_GBK" w:cs="方正小标宋_GBK"/>
          <w:spacing w:val="-1"/>
          <w:sz w:val="31"/>
          <w:szCs w:val="31"/>
        </w:rPr>
        <w:t>2</w:t>
      </w:r>
      <w:r>
        <w:rPr>
          <w:rFonts w:ascii="方正小标宋_GBK" w:hAnsi="方正小标宋_GBK" w:eastAsia="方正小标宋_GBK" w:cs="方正小标宋_GBK"/>
          <w:spacing w:val="-29"/>
          <w:sz w:val="31"/>
          <w:szCs w:val="31"/>
        </w:rPr>
        <w:t xml:space="preserve"> </w:t>
      </w:r>
      <w:r>
        <w:rPr>
          <w:rFonts w:ascii="方正小标宋_GBK" w:hAnsi="方正小标宋_GBK" w:eastAsia="方正小标宋_GBK" w:cs="方正小标宋_GBK"/>
          <w:spacing w:val="-1"/>
          <w:sz w:val="31"/>
          <w:szCs w:val="31"/>
        </w:rPr>
        <w:t>、</w:t>
      </w:r>
      <w:r>
        <w:rPr>
          <w:rFonts w:ascii="方正小标宋_GBK" w:hAnsi="方正小标宋_GBK" w:eastAsia="方正小标宋_GBK" w:cs="方正小标宋_GBK"/>
          <w:spacing w:val="16"/>
          <w:sz w:val="31"/>
          <w:szCs w:val="31"/>
        </w:rPr>
        <w:t xml:space="preserve">    </w:t>
      </w:r>
      <w:r>
        <w:rPr>
          <w:rFonts w:ascii="方正小标宋_GBK" w:hAnsi="方正小标宋_GBK" w:eastAsia="方正小标宋_GBK" w:cs="方正小标宋_GBK"/>
          <w:spacing w:val="-1"/>
          <w:sz w:val="31"/>
          <w:szCs w:val="31"/>
        </w:rPr>
        <w:t>符合性审查</w:t>
      </w:r>
    </w:p>
    <w:tbl>
      <w:tblPr>
        <w:tblStyle w:val="5"/>
        <w:tblW w:w="1068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46"/>
        <w:gridCol w:w="1744"/>
        <w:gridCol w:w="7197"/>
      </w:tblGrid>
      <w:tr w14:paraId="10F95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746" w:type="dxa"/>
            <w:vMerge w:val="restart"/>
            <w:tcBorders>
              <w:bottom w:val="nil"/>
            </w:tcBorders>
            <w:vAlign w:val="top"/>
          </w:tcPr>
          <w:p w14:paraId="11566084">
            <w:pPr>
              <w:spacing w:line="244" w:lineRule="auto"/>
              <w:rPr>
                <w:rFonts w:ascii="Arial"/>
                <w:sz w:val="21"/>
              </w:rPr>
            </w:pPr>
          </w:p>
          <w:p w14:paraId="7DB51C10">
            <w:pPr>
              <w:spacing w:line="244" w:lineRule="auto"/>
              <w:rPr>
                <w:rFonts w:ascii="Arial"/>
                <w:sz w:val="21"/>
              </w:rPr>
            </w:pPr>
          </w:p>
          <w:p w14:paraId="312DE7E8">
            <w:pPr>
              <w:spacing w:line="244" w:lineRule="auto"/>
              <w:rPr>
                <w:rFonts w:ascii="Arial"/>
                <w:sz w:val="21"/>
              </w:rPr>
            </w:pPr>
          </w:p>
          <w:p w14:paraId="5854DC8E">
            <w:pPr>
              <w:spacing w:line="244" w:lineRule="auto"/>
              <w:rPr>
                <w:rFonts w:ascii="Arial"/>
                <w:sz w:val="21"/>
              </w:rPr>
            </w:pPr>
          </w:p>
          <w:p w14:paraId="3599016A">
            <w:pPr>
              <w:spacing w:line="244" w:lineRule="auto"/>
              <w:rPr>
                <w:rFonts w:ascii="Arial"/>
                <w:sz w:val="21"/>
              </w:rPr>
            </w:pPr>
          </w:p>
          <w:p w14:paraId="541C5821">
            <w:pPr>
              <w:spacing w:line="244" w:lineRule="auto"/>
              <w:rPr>
                <w:rFonts w:ascii="Arial"/>
                <w:sz w:val="21"/>
              </w:rPr>
            </w:pPr>
          </w:p>
          <w:p w14:paraId="6C2554A2">
            <w:pPr>
              <w:spacing w:line="244" w:lineRule="auto"/>
              <w:rPr>
                <w:rFonts w:ascii="Arial"/>
                <w:sz w:val="21"/>
              </w:rPr>
            </w:pPr>
          </w:p>
          <w:p w14:paraId="62228F25">
            <w:pPr>
              <w:spacing w:line="245" w:lineRule="auto"/>
              <w:rPr>
                <w:rFonts w:ascii="Arial"/>
                <w:sz w:val="21"/>
              </w:rPr>
            </w:pPr>
          </w:p>
          <w:p w14:paraId="77565243">
            <w:pPr>
              <w:spacing w:line="245" w:lineRule="auto"/>
              <w:rPr>
                <w:rFonts w:ascii="Arial"/>
                <w:sz w:val="21"/>
              </w:rPr>
            </w:pPr>
          </w:p>
          <w:p w14:paraId="4AD20554">
            <w:pPr>
              <w:spacing w:line="245" w:lineRule="auto"/>
              <w:rPr>
                <w:rFonts w:ascii="Arial"/>
                <w:sz w:val="21"/>
              </w:rPr>
            </w:pPr>
          </w:p>
          <w:p w14:paraId="58651808">
            <w:pPr>
              <w:pStyle w:val="6"/>
              <w:spacing w:before="101" w:line="344" w:lineRule="auto"/>
              <w:ind w:left="120" w:right="354" w:firstLine="8"/>
            </w:pPr>
            <w:r>
              <w:rPr>
                <w:spacing w:val="4"/>
              </w:rPr>
              <w:t>符合性审</w:t>
            </w:r>
            <w:r>
              <w:rPr>
                <w:spacing w:val="5"/>
              </w:rPr>
              <w:t>查标准</w:t>
            </w:r>
          </w:p>
        </w:tc>
        <w:tc>
          <w:tcPr>
            <w:tcW w:w="1744" w:type="dxa"/>
            <w:vAlign w:val="top"/>
          </w:tcPr>
          <w:p w14:paraId="49958A10">
            <w:pPr>
              <w:pStyle w:val="6"/>
              <w:spacing w:before="191" w:line="222" w:lineRule="auto"/>
              <w:ind w:left="114"/>
            </w:pPr>
            <w:r>
              <w:rPr>
                <w:spacing w:val="6"/>
              </w:rPr>
              <w:t>评审因素</w:t>
            </w:r>
          </w:p>
        </w:tc>
        <w:tc>
          <w:tcPr>
            <w:tcW w:w="7197" w:type="dxa"/>
            <w:vAlign w:val="top"/>
          </w:tcPr>
          <w:p w14:paraId="1E3465B0">
            <w:pPr>
              <w:pStyle w:val="6"/>
              <w:spacing w:before="191" w:line="222" w:lineRule="auto"/>
              <w:ind w:left="115"/>
            </w:pPr>
            <w:r>
              <w:rPr>
                <w:spacing w:val="6"/>
              </w:rPr>
              <w:t>评审标准</w:t>
            </w:r>
          </w:p>
        </w:tc>
      </w:tr>
      <w:tr w14:paraId="7FD75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5" w:hRule="atLeast"/>
        </w:trPr>
        <w:tc>
          <w:tcPr>
            <w:tcW w:w="1746" w:type="dxa"/>
            <w:vMerge w:val="continue"/>
            <w:tcBorders>
              <w:top w:val="nil"/>
              <w:bottom w:val="nil"/>
            </w:tcBorders>
            <w:vAlign w:val="top"/>
          </w:tcPr>
          <w:p w14:paraId="4BEA68D1">
            <w:pPr>
              <w:rPr>
                <w:rFonts w:ascii="Arial"/>
                <w:sz w:val="21"/>
              </w:rPr>
            </w:pPr>
          </w:p>
        </w:tc>
        <w:tc>
          <w:tcPr>
            <w:tcW w:w="1744" w:type="dxa"/>
            <w:vAlign w:val="top"/>
          </w:tcPr>
          <w:p w14:paraId="464B873B">
            <w:pPr>
              <w:pStyle w:val="6"/>
              <w:spacing w:before="184" w:line="286" w:lineRule="auto"/>
              <w:ind w:left="118" w:right="358"/>
            </w:pPr>
            <w:r>
              <w:rPr>
                <w:spacing w:val="5"/>
              </w:rPr>
              <w:t>投标人名</w:t>
            </w:r>
            <w:r>
              <w:t>称</w:t>
            </w:r>
          </w:p>
        </w:tc>
        <w:tc>
          <w:tcPr>
            <w:tcW w:w="7197" w:type="dxa"/>
            <w:vAlign w:val="top"/>
          </w:tcPr>
          <w:p w14:paraId="06502B78">
            <w:pPr>
              <w:spacing w:line="371" w:lineRule="auto"/>
              <w:rPr>
                <w:rFonts w:ascii="Arial"/>
                <w:sz w:val="21"/>
              </w:rPr>
            </w:pPr>
          </w:p>
          <w:p w14:paraId="73F88079">
            <w:pPr>
              <w:pStyle w:val="6"/>
              <w:spacing w:before="100" w:line="223" w:lineRule="auto"/>
              <w:ind w:left="132"/>
            </w:pPr>
            <w:r>
              <w:rPr>
                <w:spacing w:val="5"/>
              </w:rPr>
              <w:t>与营业执照一致</w:t>
            </w:r>
          </w:p>
        </w:tc>
      </w:tr>
      <w:tr w14:paraId="64959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5" w:hRule="atLeast"/>
        </w:trPr>
        <w:tc>
          <w:tcPr>
            <w:tcW w:w="1746" w:type="dxa"/>
            <w:vMerge w:val="continue"/>
            <w:tcBorders>
              <w:top w:val="nil"/>
              <w:bottom w:val="nil"/>
            </w:tcBorders>
            <w:vAlign w:val="top"/>
          </w:tcPr>
          <w:p w14:paraId="151EB04F">
            <w:pPr>
              <w:rPr>
                <w:rFonts w:ascii="Arial"/>
                <w:sz w:val="21"/>
              </w:rPr>
            </w:pPr>
          </w:p>
        </w:tc>
        <w:tc>
          <w:tcPr>
            <w:tcW w:w="1744" w:type="dxa"/>
            <w:vAlign w:val="top"/>
          </w:tcPr>
          <w:p w14:paraId="1F4D340E">
            <w:pPr>
              <w:spacing w:line="373" w:lineRule="auto"/>
              <w:rPr>
                <w:rFonts w:ascii="Arial"/>
                <w:sz w:val="21"/>
              </w:rPr>
            </w:pPr>
          </w:p>
          <w:p w14:paraId="322A3F91">
            <w:pPr>
              <w:pStyle w:val="6"/>
              <w:spacing w:before="100" w:line="222" w:lineRule="auto"/>
              <w:ind w:left="124"/>
            </w:pPr>
            <w:r>
              <w:rPr>
                <w:spacing w:val="4"/>
              </w:rPr>
              <w:t>签字盖章</w:t>
            </w:r>
          </w:p>
        </w:tc>
        <w:tc>
          <w:tcPr>
            <w:tcW w:w="7197" w:type="dxa"/>
            <w:vAlign w:val="top"/>
          </w:tcPr>
          <w:p w14:paraId="56CE6BA3">
            <w:pPr>
              <w:pStyle w:val="6"/>
              <w:spacing w:before="187" w:line="285" w:lineRule="auto"/>
              <w:ind w:left="118" w:right="369"/>
            </w:pPr>
            <w:r>
              <w:rPr>
                <w:spacing w:val="9"/>
              </w:rPr>
              <w:t>投标文件签字和盖章处有法定代表人或其委托代</w:t>
            </w:r>
            <w:r>
              <w:rPr>
                <w:spacing w:val="8"/>
              </w:rPr>
              <w:t>理人签字和加盖单位公章</w:t>
            </w:r>
          </w:p>
        </w:tc>
      </w:tr>
      <w:tr w14:paraId="5F9E2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1746" w:type="dxa"/>
            <w:vMerge w:val="continue"/>
            <w:tcBorders>
              <w:top w:val="nil"/>
              <w:bottom w:val="nil"/>
            </w:tcBorders>
            <w:vAlign w:val="top"/>
          </w:tcPr>
          <w:p w14:paraId="29C63276">
            <w:pPr>
              <w:rPr>
                <w:rFonts w:ascii="Arial"/>
                <w:sz w:val="21"/>
              </w:rPr>
            </w:pPr>
          </w:p>
        </w:tc>
        <w:tc>
          <w:tcPr>
            <w:tcW w:w="1744" w:type="dxa"/>
            <w:vAlign w:val="top"/>
          </w:tcPr>
          <w:p w14:paraId="3FFA9BFF">
            <w:pPr>
              <w:pStyle w:val="6"/>
              <w:spacing w:before="230" w:line="222" w:lineRule="auto"/>
              <w:ind w:left="124"/>
            </w:pPr>
            <w:r>
              <w:rPr>
                <w:spacing w:val="10"/>
              </w:rPr>
              <w:t>报价唯一</w:t>
            </w:r>
          </w:p>
        </w:tc>
        <w:tc>
          <w:tcPr>
            <w:tcW w:w="7197" w:type="dxa"/>
            <w:vAlign w:val="top"/>
          </w:tcPr>
          <w:p w14:paraId="27264234">
            <w:pPr>
              <w:pStyle w:val="6"/>
              <w:spacing w:before="229" w:line="221" w:lineRule="auto"/>
              <w:ind w:left="127"/>
            </w:pPr>
            <w:r>
              <w:rPr>
                <w:spacing w:val="8"/>
              </w:rPr>
              <w:t>只能有一个有效报价，且符合最高限价的规定</w:t>
            </w:r>
          </w:p>
        </w:tc>
      </w:tr>
      <w:tr w14:paraId="40880B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6" w:hRule="atLeast"/>
        </w:trPr>
        <w:tc>
          <w:tcPr>
            <w:tcW w:w="1746" w:type="dxa"/>
            <w:vMerge w:val="continue"/>
            <w:tcBorders>
              <w:top w:val="nil"/>
              <w:bottom w:val="nil"/>
            </w:tcBorders>
            <w:vAlign w:val="top"/>
          </w:tcPr>
          <w:p w14:paraId="1208BA97">
            <w:pPr>
              <w:rPr>
                <w:rFonts w:ascii="Arial"/>
                <w:sz w:val="21"/>
              </w:rPr>
            </w:pPr>
          </w:p>
        </w:tc>
        <w:tc>
          <w:tcPr>
            <w:tcW w:w="1744" w:type="dxa"/>
            <w:vAlign w:val="top"/>
          </w:tcPr>
          <w:p w14:paraId="0C120B75">
            <w:pPr>
              <w:pStyle w:val="6"/>
              <w:spacing w:before="188" w:line="285" w:lineRule="auto"/>
              <w:ind w:left="119" w:right="358" w:hanging="1"/>
            </w:pPr>
            <w:r>
              <w:rPr>
                <w:spacing w:val="5"/>
              </w:rPr>
              <w:t>合同履行</w:t>
            </w:r>
            <w:r>
              <w:t>期限</w:t>
            </w:r>
          </w:p>
        </w:tc>
        <w:tc>
          <w:tcPr>
            <w:tcW w:w="7197" w:type="dxa"/>
            <w:vAlign w:val="top"/>
          </w:tcPr>
          <w:p w14:paraId="37EFE012">
            <w:pPr>
              <w:spacing w:line="375" w:lineRule="auto"/>
              <w:rPr>
                <w:rFonts w:ascii="Arial"/>
                <w:sz w:val="21"/>
              </w:rPr>
            </w:pPr>
          </w:p>
          <w:p w14:paraId="427EFBE6">
            <w:pPr>
              <w:pStyle w:val="6"/>
              <w:spacing w:before="100" w:line="222" w:lineRule="auto"/>
              <w:ind w:left="158"/>
            </w:pPr>
            <w:r>
              <w:rPr>
                <w:rFonts w:hint="eastAsia"/>
                <w:spacing w:val="1"/>
              </w:rPr>
              <w:t>自合同签订之日起1年</w:t>
            </w:r>
          </w:p>
        </w:tc>
      </w:tr>
      <w:tr w14:paraId="2945A4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0" w:hRule="atLeast"/>
        </w:trPr>
        <w:tc>
          <w:tcPr>
            <w:tcW w:w="1746" w:type="dxa"/>
            <w:vMerge w:val="continue"/>
            <w:tcBorders>
              <w:top w:val="nil"/>
            </w:tcBorders>
            <w:vAlign w:val="top"/>
          </w:tcPr>
          <w:p w14:paraId="009D4BB5">
            <w:pPr>
              <w:rPr>
                <w:rFonts w:ascii="Arial"/>
                <w:sz w:val="21"/>
              </w:rPr>
            </w:pPr>
          </w:p>
        </w:tc>
        <w:tc>
          <w:tcPr>
            <w:tcW w:w="1744" w:type="dxa"/>
            <w:vAlign w:val="top"/>
          </w:tcPr>
          <w:p w14:paraId="62E5A51F">
            <w:pPr>
              <w:pStyle w:val="6"/>
              <w:spacing w:before="189" w:line="286" w:lineRule="auto"/>
              <w:ind w:left="121" w:right="358" w:hanging="3"/>
            </w:pPr>
            <w:r>
              <w:rPr>
                <w:spacing w:val="5"/>
              </w:rPr>
              <w:t>投标文件</w:t>
            </w:r>
            <w:r>
              <w:rPr>
                <w:spacing w:val="3"/>
              </w:rPr>
              <w:t>有效期</w:t>
            </w:r>
          </w:p>
        </w:tc>
        <w:tc>
          <w:tcPr>
            <w:tcW w:w="7197" w:type="dxa"/>
            <w:vAlign w:val="top"/>
          </w:tcPr>
          <w:p w14:paraId="0205A6F5">
            <w:pPr>
              <w:spacing w:line="375" w:lineRule="auto"/>
              <w:rPr>
                <w:rFonts w:ascii="Arial"/>
                <w:sz w:val="21"/>
              </w:rPr>
            </w:pPr>
          </w:p>
          <w:p w14:paraId="02024CAC">
            <w:pPr>
              <w:pStyle w:val="6"/>
              <w:spacing w:before="101" w:line="222" w:lineRule="auto"/>
              <w:ind w:left="172"/>
            </w:pPr>
            <w:r>
              <w:rPr>
                <w:spacing w:val="-4"/>
              </w:rPr>
              <w:t>自投标截止之日起90日历天</w:t>
            </w:r>
          </w:p>
        </w:tc>
      </w:tr>
    </w:tbl>
    <w:p w14:paraId="04E2A718">
      <w:pPr>
        <w:rPr>
          <w:rFonts w:ascii="Arial"/>
          <w:sz w:val="21"/>
        </w:rPr>
      </w:pPr>
    </w:p>
    <w:p w14:paraId="1564D5D3">
      <w:pPr>
        <w:rPr>
          <w:rFonts w:ascii="Arial" w:hAnsi="Arial" w:eastAsia="Arial" w:cs="Arial"/>
          <w:sz w:val="21"/>
          <w:szCs w:val="21"/>
        </w:rPr>
        <w:sectPr>
          <w:footerReference r:id="rId6" w:type="default"/>
          <w:pgSz w:w="11906" w:h="16838"/>
          <w:pgMar w:top="788" w:right="606" w:bottom="1478" w:left="607" w:header="0" w:footer="1199" w:gutter="0"/>
          <w:cols w:space="720" w:num="1"/>
        </w:sectPr>
      </w:pPr>
    </w:p>
    <w:p w14:paraId="12A0102C">
      <w:pPr>
        <w:pStyle w:val="2"/>
        <w:spacing w:before="74" w:line="197" w:lineRule="auto"/>
        <w:ind w:left="118"/>
      </w:pPr>
      <w:r>
        <w:rPr>
          <w:spacing w:val="-2"/>
        </w:rPr>
        <w:t>3</w:t>
      </w:r>
      <w:r>
        <w:rPr>
          <w:spacing w:val="-27"/>
        </w:rPr>
        <w:t xml:space="preserve"> </w:t>
      </w:r>
      <w:r>
        <w:rPr>
          <w:spacing w:val="-2"/>
        </w:rPr>
        <w:t>、</w:t>
      </w:r>
      <w:r>
        <w:rPr>
          <w:spacing w:val="14"/>
        </w:rPr>
        <w:t xml:space="preserve">    </w:t>
      </w:r>
      <w:r>
        <w:rPr>
          <w:spacing w:val="-2"/>
        </w:rPr>
        <w:t>评分标准</w:t>
      </w:r>
    </w:p>
    <w:tbl>
      <w:tblPr>
        <w:tblStyle w:val="5"/>
        <w:tblW w:w="104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4"/>
        <w:gridCol w:w="1499"/>
        <w:gridCol w:w="981"/>
        <w:gridCol w:w="7026"/>
      </w:tblGrid>
      <w:tr w14:paraId="59D0C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984" w:type="dxa"/>
            <w:vAlign w:val="top"/>
          </w:tcPr>
          <w:p w14:paraId="72E0E908">
            <w:pPr>
              <w:pStyle w:val="6"/>
              <w:spacing w:before="191" w:line="222" w:lineRule="auto"/>
              <w:ind w:left="117"/>
            </w:pPr>
            <w:r>
              <w:rPr>
                <w:spacing w:val="4"/>
              </w:rPr>
              <w:t>序号</w:t>
            </w:r>
          </w:p>
        </w:tc>
        <w:tc>
          <w:tcPr>
            <w:tcW w:w="1499" w:type="dxa"/>
            <w:vAlign w:val="top"/>
          </w:tcPr>
          <w:p w14:paraId="4E08A4FF">
            <w:pPr>
              <w:pStyle w:val="6"/>
              <w:spacing w:before="191" w:line="222" w:lineRule="auto"/>
              <w:ind w:left="115"/>
            </w:pPr>
            <w:r>
              <w:rPr>
                <w:spacing w:val="6"/>
              </w:rPr>
              <w:t>评标项目</w:t>
            </w:r>
          </w:p>
        </w:tc>
        <w:tc>
          <w:tcPr>
            <w:tcW w:w="981" w:type="dxa"/>
            <w:vAlign w:val="top"/>
          </w:tcPr>
          <w:p w14:paraId="4DB4330B">
            <w:pPr>
              <w:pStyle w:val="6"/>
              <w:spacing w:before="191" w:line="222" w:lineRule="auto"/>
              <w:ind w:left="124"/>
            </w:pPr>
            <w:r>
              <w:rPr>
                <w:spacing w:val="-3"/>
              </w:rPr>
              <w:t>权重</w:t>
            </w:r>
          </w:p>
        </w:tc>
        <w:tc>
          <w:tcPr>
            <w:tcW w:w="7026" w:type="dxa"/>
            <w:vAlign w:val="top"/>
          </w:tcPr>
          <w:p w14:paraId="5B914447">
            <w:pPr>
              <w:pStyle w:val="6"/>
              <w:spacing w:before="191" w:line="222" w:lineRule="auto"/>
              <w:ind w:left="117"/>
            </w:pPr>
            <w:r>
              <w:rPr>
                <w:spacing w:val="6"/>
              </w:rPr>
              <w:t>评标办法</w:t>
            </w:r>
          </w:p>
        </w:tc>
      </w:tr>
      <w:tr w14:paraId="2DEA2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10490" w:type="dxa"/>
            <w:gridSpan w:val="4"/>
            <w:vAlign w:val="top"/>
          </w:tcPr>
          <w:p w14:paraId="340AD907">
            <w:pPr>
              <w:pStyle w:val="6"/>
              <w:spacing w:before="186" w:line="222" w:lineRule="auto"/>
              <w:ind w:left="140"/>
            </w:pPr>
            <w:r>
              <w:rPr>
                <w:spacing w:val="-6"/>
              </w:rPr>
              <w:t>一、价格分</w:t>
            </w:r>
            <w:r>
              <w:rPr>
                <w:spacing w:val="-66"/>
              </w:rPr>
              <w:t xml:space="preserve"> </w:t>
            </w:r>
            <w:r>
              <w:rPr>
                <w:spacing w:val="-6"/>
              </w:rPr>
              <w:t>(2</w:t>
            </w:r>
            <w:r>
              <w:rPr>
                <w:rFonts w:hint="eastAsia"/>
                <w:spacing w:val="-6"/>
                <w:lang w:val="en-US" w:eastAsia="zh-CN"/>
              </w:rPr>
              <w:t>5</w:t>
            </w:r>
            <w:r>
              <w:rPr>
                <w:spacing w:val="-59"/>
              </w:rPr>
              <w:t xml:space="preserve"> </w:t>
            </w:r>
            <w:r>
              <w:rPr>
                <w:spacing w:val="-6"/>
              </w:rPr>
              <w:t>分)</w:t>
            </w:r>
          </w:p>
        </w:tc>
      </w:tr>
      <w:tr w14:paraId="2652BD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32" w:hRule="atLeast"/>
        </w:trPr>
        <w:tc>
          <w:tcPr>
            <w:tcW w:w="984" w:type="dxa"/>
            <w:vMerge w:val="restart"/>
            <w:tcBorders>
              <w:bottom w:val="nil"/>
            </w:tcBorders>
            <w:vAlign w:val="center"/>
          </w:tcPr>
          <w:p w14:paraId="540DB136">
            <w:pPr>
              <w:pStyle w:val="6"/>
              <w:spacing w:before="101" w:line="407" w:lineRule="exact"/>
              <w:ind w:left="140"/>
              <w:jc w:val="center"/>
            </w:pPr>
            <w:r>
              <w:rPr>
                <w:position w:val="2"/>
              </w:rPr>
              <w:t>1</w:t>
            </w:r>
          </w:p>
        </w:tc>
        <w:tc>
          <w:tcPr>
            <w:tcW w:w="1499" w:type="dxa"/>
            <w:vMerge w:val="restart"/>
            <w:tcBorders>
              <w:bottom w:val="nil"/>
            </w:tcBorders>
            <w:vAlign w:val="center"/>
          </w:tcPr>
          <w:p w14:paraId="57AE9E42">
            <w:pPr>
              <w:pStyle w:val="6"/>
              <w:spacing w:before="100" w:line="222" w:lineRule="auto"/>
              <w:ind w:left="125"/>
              <w:jc w:val="center"/>
            </w:pPr>
            <w:r>
              <w:rPr>
                <w:spacing w:val="-4"/>
              </w:rPr>
              <w:t>报价</w:t>
            </w:r>
          </w:p>
        </w:tc>
        <w:tc>
          <w:tcPr>
            <w:tcW w:w="981" w:type="dxa"/>
            <w:vMerge w:val="restart"/>
            <w:tcBorders>
              <w:bottom w:val="nil"/>
            </w:tcBorders>
            <w:vAlign w:val="center"/>
          </w:tcPr>
          <w:p w14:paraId="788593A6">
            <w:pPr>
              <w:pStyle w:val="6"/>
              <w:spacing w:before="101" w:line="224" w:lineRule="auto"/>
              <w:ind w:left="128"/>
              <w:jc w:val="center"/>
            </w:pPr>
            <w:r>
              <w:rPr>
                <w:spacing w:val="-5"/>
              </w:rPr>
              <w:t>2</w:t>
            </w:r>
            <w:r>
              <w:rPr>
                <w:rFonts w:hint="eastAsia"/>
                <w:spacing w:val="-5"/>
                <w:lang w:val="en-US" w:eastAsia="zh-CN"/>
              </w:rPr>
              <w:t>5</w:t>
            </w:r>
            <w:r>
              <w:rPr>
                <w:spacing w:val="-5"/>
              </w:rPr>
              <w:t>分</w:t>
            </w:r>
          </w:p>
        </w:tc>
        <w:tc>
          <w:tcPr>
            <w:tcW w:w="7026" w:type="dxa"/>
            <w:vAlign w:val="top"/>
          </w:tcPr>
          <w:p w14:paraId="2FAF07AB">
            <w:pPr>
              <w:pStyle w:val="6"/>
              <w:spacing w:before="185" w:line="305" w:lineRule="auto"/>
              <w:ind w:left="114" w:right="196" w:firstLine="2"/>
              <w:jc w:val="both"/>
            </w:pPr>
            <w:r>
              <w:rPr>
                <w:spacing w:val="8"/>
              </w:rPr>
              <w:t>评标基准价计算方法:投标人的报价得分计算方</w:t>
            </w:r>
            <w:r>
              <w:rPr>
                <w:spacing w:val="9"/>
              </w:rPr>
              <w:t>法如下：满足招标文件要求且投标价格最低的投</w:t>
            </w:r>
            <w:r>
              <w:rPr>
                <w:spacing w:val="8"/>
              </w:rPr>
              <w:t>标报价为评标基准价</w:t>
            </w:r>
          </w:p>
        </w:tc>
      </w:tr>
      <w:tr w14:paraId="5FACE6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8" w:hRule="atLeast"/>
        </w:trPr>
        <w:tc>
          <w:tcPr>
            <w:tcW w:w="984" w:type="dxa"/>
            <w:vMerge w:val="continue"/>
            <w:tcBorders>
              <w:top w:val="nil"/>
              <w:bottom w:val="nil"/>
            </w:tcBorders>
            <w:vAlign w:val="top"/>
          </w:tcPr>
          <w:p w14:paraId="10539822">
            <w:pPr>
              <w:rPr>
                <w:rFonts w:ascii="Arial"/>
                <w:sz w:val="21"/>
              </w:rPr>
            </w:pPr>
          </w:p>
        </w:tc>
        <w:tc>
          <w:tcPr>
            <w:tcW w:w="1499" w:type="dxa"/>
            <w:vMerge w:val="continue"/>
            <w:tcBorders>
              <w:top w:val="nil"/>
              <w:bottom w:val="nil"/>
            </w:tcBorders>
            <w:vAlign w:val="top"/>
          </w:tcPr>
          <w:p w14:paraId="7B3F56F2">
            <w:pPr>
              <w:rPr>
                <w:rFonts w:ascii="Arial"/>
                <w:sz w:val="21"/>
              </w:rPr>
            </w:pPr>
          </w:p>
        </w:tc>
        <w:tc>
          <w:tcPr>
            <w:tcW w:w="981" w:type="dxa"/>
            <w:vMerge w:val="continue"/>
            <w:tcBorders>
              <w:top w:val="nil"/>
              <w:bottom w:val="nil"/>
            </w:tcBorders>
            <w:vAlign w:val="top"/>
          </w:tcPr>
          <w:p w14:paraId="2FEED49B">
            <w:pPr>
              <w:rPr>
                <w:rFonts w:ascii="Arial"/>
                <w:sz w:val="21"/>
              </w:rPr>
            </w:pPr>
          </w:p>
        </w:tc>
        <w:tc>
          <w:tcPr>
            <w:tcW w:w="7026" w:type="dxa"/>
            <w:vAlign w:val="top"/>
          </w:tcPr>
          <w:p w14:paraId="0BBCD1B9">
            <w:pPr>
              <w:pStyle w:val="6"/>
              <w:spacing w:before="188" w:line="343" w:lineRule="auto"/>
              <w:ind w:left="114" w:right="357" w:firstLine="6"/>
            </w:pPr>
            <w:r>
              <w:rPr>
                <w:spacing w:val="8"/>
              </w:rPr>
              <w:t>投标报价的计算:有效投标报价中价格最低的投标人的投标报价分为满分。</w:t>
            </w:r>
          </w:p>
          <w:p w14:paraId="04E03662">
            <w:pPr>
              <w:pStyle w:val="6"/>
              <w:spacing w:line="285" w:lineRule="auto"/>
              <w:ind w:left="120" w:right="288" w:hanging="3"/>
              <w:rPr>
                <w:rFonts w:hint="eastAsia" w:eastAsia="仿宋"/>
                <w:lang w:eastAsia="zh-CN"/>
              </w:rPr>
            </w:pPr>
            <w:r>
              <w:rPr>
                <w:spacing w:val="5"/>
              </w:rPr>
              <w:t>其他投标人的报价得分统一按照下列公式计算：</w:t>
            </w:r>
            <w:r>
              <w:rPr>
                <w:spacing w:val="3"/>
              </w:rPr>
              <w:t>投标报价得分=（评标基准价/投标报价）</w:t>
            </w:r>
            <w:r>
              <w:rPr>
                <w:spacing w:val="-39"/>
              </w:rPr>
              <w:t xml:space="preserve"> </w:t>
            </w:r>
            <w:r>
              <w:rPr>
                <w:spacing w:val="3"/>
              </w:rPr>
              <w:t>×2</w:t>
            </w:r>
            <w:r>
              <w:rPr>
                <w:rFonts w:hint="eastAsia"/>
                <w:spacing w:val="3"/>
                <w:lang w:val="en-US" w:eastAsia="zh-CN"/>
              </w:rPr>
              <w:t>5</w:t>
            </w:r>
          </w:p>
        </w:tc>
      </w:tr>
      <w:tr w14:paraId="165C2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3" w:hRule="atLeast"/>
        </w:trPr>
        <w:tc>
          <w:tcPr>
            <w:tcW w:w="984" w:type="dxa"/>
            <w:vMerge w:val="continue"/>
            <w:tcBorders>
              <w:top w:val="nil"/>
            </w:tcBorders>
            <w:vAlign w:val="top"/>
          </w:tcPr>
          <w:p w14:paraId="6AC0788B">
            <w:pPr>
              <w:rPr>
                <w:rFonts w:ascii="Arial"/>
                <w:sz w:val="21"/>
              </w:rPr>
            </w:pPr>
          </w:p>
        </w:tc>
        <w:tc>
          <w:tcPr>
            <w:tcW w:w="1499" w:type="dxa"/>
            <w:vMerge w:val="continue"/>
            <w:tcBorders>
              <w:top w:val="nil"/>
            </w:tcBorders>
            <w:vAlign w:val="top"/>
          </w:tcPr>
          <w:p w14:paraId="62CB7DAD">
            <w:pPr>
              <w:rPr>
                <w:rFonts w:ascii="Arial"/>
                <w:sz w:val="21"/>
              </w:rPr>
            </w:pPr>
          </w:p>
        </w:tc>
        <w:tc>
          <w:tcPr>
            <w:tcW w:w="981" w:type="dxa"/>
            <w:vMerge w:val="continue"/>
            <w:tcBorders>
              <w:top w:val="nil"/>
            </w:tcBorders>
            <w:vAlign w:val="top"/>
          </w:tcPr>
          <w:p w14:paraId="6CDE8374">
            <w:pPr>
              <w:rPr>
                <w:rFonts w:ascii="Arial"/>
                <w:sz w:val="21"/>
              </w:rPr>
            </w:pPr>
          </w:p>
        </w:tc>
        <w:tc>
          <w:tcPr>
            <w:tcW w:w="7026" w:type="dxa"/>
            <w:vAlign w:val="top"/>
          </w:tcPr>
          <w:p w14:paraId="2EA82DE1">
            <w:pPr>
              <w:pStyle w:val="6"/>
              <w:spacing w:before="183" w:line="329" w:lineRule="auto"/>
              <w:ind w:left="120" w:right="196" w:hanging="7"/>
              <w:jc w:val="both"/>
            </w:pPr>
            <w:r>
              <w:rPr>
                <w:spacing w:val="9"/>
              </w:rPr>
              <w:t>根据《政府采购货物和服务招标投标管理办法》第六十条的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w:t>
            </w:r>
            <w:r>
              <w:rPr>
                <w:spacing w:val="-4"/>
              </w:rPr>
              <w:t>理。</w:t>
            </w:r>
          </w:p>
        </w:tc>
      </w:tr>
      <w:tr w14:paraId="4C06D2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10490" w:type="dxa"/>
            <w:gridSpan w:val="4"/>
            <w:vAlign w:val="top"/>
          </w:tcPr>
          <w:p w14:paraId="18DDC568">
            <w:pPr>
              <w:pStyle w:val="6"/>
              <w:spacing w:before="189" w:line="222" w:lineRule="auto"/>
              <w:ind w:left="137"/>
            </w:pPr>
            <w:r>
              <w:rPr>
                <w:spacing w:val="4"/>
              </w:rPr>
              <w:t>二、商务部分(</w:t>
            </w:r>
            <w:r>
              <w:rPr>
                <w:rFonts w:hint="eastAsia"/>
                <w:spacing w:val="4"/>
                <w:lang w:val="en-US" w:eastAsia="zh-CN"/>
              </w:rPr>
              <w:t>15</w:t>
            </w:r>
            <w:r>
              <w:rPr>
                <w:spacing w:val="-60"/>
              </w:rPr>
              <w:t xml:space="preserve"> </w:t>
            </w:r>
            <w:r>
              <w:rPr>
                <w:spacing w:val="4"/>
              </w:rPr>
              <w:t>分)</w:t>
            </w:r>
          </w:p>
        </w:tc>
      </w:tr>
      <w:tr w14:paraId="78181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84" w:type="dxa"/>
            <w:vAlign w:val="center"/>
          </w:tcPr>
          <w:p w14:paraId="1496A364">
            <w:pPr>
              <w:pStyle w:val="6"/>
              <w:spacing w:before="101" w:line="407" w:lineRule="exact"/>
              <w:jc w:val="center"/>
            </w:pPr>
            <w:r>
              <w:rPr>
                <w:position w:val="2"/>
              </w:rPr>
              <w:t>1</w:t>
            </w:r>
          </w:p>
        </w:tc>
        <w:tc>
          <w:tcPr>
            <w:tcW w:w="1499" w:type="dxa"/>
            <w:vAlign w:val="center"/>
          </w:tcPr>
          <w:p w14:paraId="25F47E95">
            <w:pPr>
              <w:pStyle w:val="6"/>
              <w:spacing w:before="101" w:line="223" w:lineRule="auto"/>
              <w:jc w:val="center"/>
              <w:rPr>
                <w:rFonts w:hint="eastAsia" w:eastAsia="仿宋"/>
                <w:lang w:eastAsia="zh-CN"/>
              </w:rPr>
            </w:pPr>
            <w:r>
              <w:rPr>
                <w:rFonts w:hint="eastAsia"/>
                <w:spacing w:val="2"/>
                <w:lang w:val="en-US" w:eastAsia="zh-CN"/>
              </w:rPr>
              <w:t>企业资质</w:t>
            </w:r>
          </w:p>
        </w:tc>
        <w:tc>
          <w:tcPr>
            <w:tcW w:w="981" w:type="dxa"/>
            <w:vAlign w:val="center"/>
          </w:tcPr>
          <w:p w14:paraId="39937918">
            <w:pPr>
              <w:pStyle w:val="6"/>
              <w:spacing w:before="101" w:line="224" w:lineRule="auto"/>
              <w:jc w:val="center"/>
            </w:pPr>
            <w:r>
              <w:rPr>
                <w:spacing w:val="-8"/>
              </w:rPr>
              <w:t>1</w:t>
            </w:r>
            <w:r>
              <w:rPr>
                <w:rFonts w:hint="eastAsia"/>
                <w:spacing w:val="-8"/>
                <w:lang w:val="en-US" w:eastAsia="zh-CN"/>
              </w:rPr>
              <w:t>0</w:t>
            </w:r>
            <w:r>
              <w:rPr>
                <w:spacing w:val="-8"/>
              </w:rPr>
              <w:t>分</w:t>
            </w:r>
          </w:p>
        </w:tc>
        <w:tc>
          <w:tcPr>
            <w:tcW w:w="7026" w:type="dxa"/>
            <w:vAlign w:val="center"/>
          </w:tcPr>
          <w:p w14:paraId="2AF893BA">
            <w:pPr>
              <w:pStyle w:val="6"/>
              <w:numPr>
                <w:ilvl w:val="0"/>
                <w:numId w:val="2"/>
              </w:numPr>
              <w:spacing w:before="190" w:line="304" w:lineRule="auto"/>
              <w:ind w:left="120" w:leftChars="0" w:right="107" w:rightChars="0"/>
              <w:jc w:val="both"/>
            </w:pPr>
            <w:r>
              <w:rPr>
                <w:rFonts w:hint="eastAsia"/>
                <w:spacing w:val="7"/>
              </w:rPr>
              <w:t>具备通信传输、网络运营相关资质，得</w:t>
            </w:r>
            <w:r>
              <w:rPr>
                <w:rFonts w:hint="eastAsia"/>
                <w:spacing w:val="7"/>
                <w:lang w:val="en-US" w:eastAsia="zh-CN"/>
              </w:rPr>
              <w:t>5</w:t>
            </w:r>
            <w:r>
              <w:rPr>
                <w:rFonts w:hint="eastAsia"/>
                <w:spacing w:val="7"/>
              </w:rPr>
              <w:t>分；</w:t>
            </w:r>
            <w:r>
              <w:rPr>
                <w:rFonts w:hint="eastAsia"/>
                <w:spacing w:val="7"/>
                <w:lang w:val="en-US" w:eastAsia="zh-CN"/>
              </w:rPr>
              <w:t>2.</w:t>
            </w:r>
            <w:r>
              <w:rPr>
                <w:rFonts w:hint="eastAsia"/>
              </w:rPr>
              <w:t>无重大违法失信、不良履约记录得5分；存在不良记录酌情扣分，扣完为止</w:t>
            </w:r>
          </w:p>
        </w:tc>
      </w:tr>
      <w:tr w14:paraId="5F471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5" w:hRule="atLeast"/>
        </w:trPr>
        <w:tc>
          <w:tcPr>
            <w:tcW w:w="984" w:type="dxa"/>
            <w:vAlign w:val="center"/>
          </w:tcPr>
          <w:p w14:paraId="00977C48">
            <w:pPr>
              <w:pStyle w:val="6"/>
              <w:spacing w:before="100" w:line="408" w:lineRule="exact"/>
              <w:ind w:left="132"/>
              <w:jc w:val="center"/>
            </w:pPr>
            <w:r>
              <w:rPr>
                <w:position w:val="2"/>
              </w:rPr>
              <w:t>2</w:t>
            </w:r>
          </w:p>
        </w:tc>
        <w:tc>
          <w:tcPr>
            <w:tcW w:w="1499" w:type="dxa"/>
            <w:vAlign w:val="center"/>
          </w:tcPr>
          <w:p w14:paraId="1267C1D7">
            <w:pPr>
              <w:pStyle w:val="6"/>
              <w:spacing w:before="101" w:line="224" w:lineRule="auto"/>
              <w:ind w:left="117"/>
              <w:jc w:val="center"/>
              <w:rPr>
                <w:rFonts w:hint="default" w:eastAsia="仿宋"/>
                <w:lang w:val="en-US" w:eastAsia="zh-CN"/>
              </w:rPr>
            </w:pPr>
            <w:r>
              <w:rPr>
                <w:rFonts w:hint="eastAsia"/>
                <w:lang w:val="en-US" w:eastAsia="zh-CN"/>
              </w:rPr>
              <w:t>类似业绩</w:t>
            </w:r>
          </w:p>
        </w:tc>
        <w:tc>
          <w:tcPr>
            <w:tcW w:w="981" w:type="dxa"/>
            <w:vAlign w:val="center"/>
          </w:tcPr>
          <w:p w14:paraId="7D924FBD">
            <w:pPr>
              <w:pStyle w:val="6"/>
              <w:spacing w:before="101" w:line="224" w:lineRule="auto"/>
              <w:ind w:left="131"/>
              <w:jc w:val="center"/>
            </w:pPr>
            <w:r>
              <w:rPr>
                <w:rFonts w:hint="eastAsia"/>
                <w:spacing w:val="-12"/>
                <w:lang w:val="en-US" w:eastAsia="zh-CN"/>
              </w:rPr>
              <w:t>5</w:t>
            </w:r>
            <w:r>
              <w:rPr>
                <w:spacing w:val="-12"/>
              </w:rPr>
              <w:t>分</w:t>
            </w:r>
          </w:p>
        </w:tc>
        <w:tc>
          <w:tcPr>
            <w:tcW w:w="7026" w:type="dxa"/>
            <w:vAlign w:val="center"/>
          </w:tcPr>
          <w:p w14:paraId="334FE3EC">
            <w:pPr>
              <w:pStyle w:val="6"/>
              <w:numPr>
                <w:ilvl w:val="0"/>
                <w:numId w:val="2"/>
              </w:numPr>
              <w:spacing w:before="190" w:line="304" w:lineRule="auto"/>
              <w:ind w:left="120" w:leftChars="0" w:right="107" w:rightChars="0"/>
              <w:jc w:val="both"/>
            </w:pPr>
            <w:r>
              <w:rPr>
                <w:rFonts w:hint="eastAsia"/>
                <w:spacing w:val="7"/>
              </w:rPr>
              <w:t>近3年</w:t>
            </w:r>
            <w:r>
              <w:rPr>
                <w:rFonts w:hint="eastAsia"/>
                <w:spacing w:val="7"/>
                <w:lang w:val="en-US" w:eastAsia="zh-CN"/>
              </w:rPr>
              <w:t>类似</w:t>
            </w:r>
            <w:r>
              <w:rPr>
                <w:rFonts w:hint="eastAsia"/>
                <w:spacing w:val="7"/>
              </w:rPr>
              <w:t>运维项目</w:t>
            </w:r>
            <w:r>
              <w:rPr>
                <w:rFonts w:hint="eastAsia"/>
                <w:spacing w:val="7"/>
                <w:lang w:eastAsia="zh-CN"/>
              </w:rPr>
              <w:t>（需提供相关合同复印件或中标/成交通知书或中标/成交公告）</w:t>
            </w:r>
            <w:r>
              <w:rPr>
                <w:rFonts w:hint="eastAsia"/>
                <w:spacing w:val="7"/>
              </w:rPr>
              <w:t>，每份有效合同得2分，最高</w:t>
            </w:r>
            <w:r>
              <w:rPr>
                <w:rFonts w:hint="eastAsia"/>
                <w:spacing w:val="7"/>
                <w:lang w:val="en-US" w:eastAsia="zh-CN"/>
              </w:rPr>
              <w:t>5</w:t>
            </w:r>
            <w:bookmarkStart w:id="0" w:name="_GoBack"/>
            <w:bookmarkEnd w:id="0"/>
            <w:r>
              <w:rPr>
                <w:rFonts w:hint="eastAsia"/>
                <w:spacing w:val="7"/>
              </w:rPr>
              <w:t xml:space="preserve">分； </w:t>
            </w:r>
          </w:p>
        </w:tc>
      </w:tr>
    </w:tbl>
    <w:p w14:paraId="1330A0F2">
      <w:pPr>
        <w:spacing w:line="180" w:lineRule="exact"/>
        <w:rPr>
          <w:rFonts w:ascii="Arial" w:hAnsi="Arial" w:eastAsia="Arial" w:cs="Arial"/>
          <w:sz w:val="15"/>
          <w:szCs w:val="15"/>
        </w:rPr>
        <w:sectPr>
          <w:footerReference r:id="rId7" w:type="default"/>
          <w:pgSz w:w="11906" w:h="16838"/>
          <w:pgMar w:top="788" w:right="803" w:bottom="1478" w:left="607" w:header="0" w:footer="1200" w:gutter="0"/>
          <w:cols w:space="720" w:num="1"/>
        </w:sectPr>
      </w:pPr>
    </w:p>
    <w:tbl>
      <w:tblPr>
        <w:tblStyle w:val="5"/>
        <w:tblW w:w="104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4"/>
        <w:gridCol w:w="1499"/>
        <w:gridCol w:w="981"/>
        <w:gridCol w:w="7026"/>
      </w:tblGrid>
      <w:tr w14:paraId="2F011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10490" w:type="dxa"/>
            <w:gridSpan w:val="4"/>
            <w:vAlign w:val="top"/>
          </w:tcPr>
          <w:p w14:paraId="256D8F13">
            <w:pPr>
              <w:pStyle w:val="6"/>
              <w:spacing w:before="188" w:line="222" w:lineRule="auto"/>
              <w:ind w:left="143"/>
            </w:pPr>
            <w:r>
              <w:rPr>
                <w:spacing w:val="3"/>
              </w:rPr>
              <w:t>三、技术部分(</w:t>
            </w:r>
            <w:r>
              <w:rPr>
                <w:rFonts w:hint="eastAsia"/>
                <w:spacing w:val="3"/>
                <w:lang w:val="en-US" w:eastAsia="zh-CN"/>
              </w:rPr>
              <w:t>6</w:t>
            </w:r>
            <w:r>
              <w:rPr>
                <w:spacing w:val="3"/>
              </w:rPr>
              <w:t>0</w:t>
            </w:r>
            <w:r>
              <w:rPr>
                <w:spacing w:val="-55"/>
              </w:rPr>
              <w:t xml:space="preserve"> </w:t>
            </w:r>
            <w:r>
              <w:rPr>
                <w:spacing w:val="3"/>
              </w:rPr>
              <w:t>分)</w:t>
            </w:r>
          </w:p>
        </w:tc>
      </w:tr>
      <w:tr w14:paraId="47095F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8" w:hRule="atLeast"/>
        </w:trPr>
        <w:tc>
          <w:tcPr>
            <w:tcW w:w="984" w:type="dxa"/>
            <w:vAlign w:val="center"/>
          </w:tcPr>
          <w:p w14:paraId="2723AA31">
            <w:pPr>
              <w:pStyle w:val="6"/>
              <w:spacing w:before="101" w:line="407" w:lineRule="exact"/>
              <w:ind w:left="140"/>
              <w:jc w:val="center"/>
            </w:pPr>
            <w:r>
              <w:rPr>
                <w:position w:val="2"/>
              </w:rPr>
              <w:t>1</w:t>
            </w:r>
          </w:p>
        </w:tc>
        <w:tc>
          <w:tcPr>
            <w:tcW w:w="1499" w:type="dxa"/>
            <w:vAlign w:val="center"/>
          </w:tcPr>
          <w:p w14:paraId="6E0E660B">
            <w:pPr>
              <w:pStyle w:val="6"/>
              <w:spacing w:before="100" w:line="222" w:lineRule="auto"/>
              <w:ind w:left="116"/>
              <w:jc w:val="center"/>
            </w:pPr>
            <w:r>
              <w:rPr>
                <w:rFonts w:hint="eastAsia"/>
                <w:lang w:val="en-US" w:eastAsia="zh-CN"/>
              </w:rPr>
              <w:t>实施方案</w:t>
            </w:r>
          </w:p>
        </w:tc>
        <w:tc>
          <w:tcPr>
            <w:tcW w:w="981" w:type="dxa"/>
            <w:vAlign w:val="center"/>
          </w:tcPr>
          <w:p w14:paraId="1F56DF7E">
            <w:pPr>
              <w:pStyle w:val="6"/>
              <w:spacing w:before="101" w:line="224" w:lineRule="auto"/>
              <w:ind w:left="127"/>
              <w:jc w:val="center"/>
            </w:pPr>
            <w:r>
              <w:rPr>
                <w:rFonts w:hint="eastAsia"/>
                <w:spacing w:val="-5"/>
                <w:lang w:val="en-US" w:eastAsia="zh-CN"/>
              </w:rPr>
              <w:t>10</w:t>
            </w:r>
            <w:r>
              <w:rPr>
                <w:spacing w:val="-5"/>
              </w:rPr>
              <w:t>分</w:t>
            </w:r>
          </w:p>
        </w:tc>
        <w:tc>
          <w:tcPr>
            <w:tcW w:w="7026" w:type="dxa"/>
            <w:vAlign w:val="center"/>
          </w:tcPr>
          <w:p w14:paraId="30B7D13E">
            <w:pPr>
              <w:pStyle w:val="6"/>
              <w:spacing w:before="4" w:line="303" w:lineRule="auto"/>
              <w:ind w:left="129" w:right="110" w:hanging="7"/>
              <w:jc w:val="both"/>
            </w:pPr>
            <w:r>
              <w:rPr>
                <w:rFonts w:hint="eastAsia"/>
              </w:rPr>
              <w:t>方案完整、包含5个台站点位拓扑、A/Z端设备部署、热备冗余设计，符合MSTP/OTN标准，</w:t>
            </w:r>
            <w:r>
              <w:rPr>
                <w:rFonts w:hint="eastAsia"/>
                <w:lang w:val="en-US" w:eastAsia="zh-CN"/>
              </w:rPr>
              <w:t>8-10</w:t>
            </w:r>
            <w:r>
              <w:rPr>
                <w:rFonts w:hint="eastAsia"/>
              </w:rPr>
              <w:t>分；基础方案可满足需求</w:t>
            </w:r>
            <w:r>
              <w:rPr>
                <w:rFonts w:hint="eastAsia"/>
                <w:lang w:val="en-US" w:eastAsia="zh-CN"/>
              </w:rPr>
              <w:t>4</w:t>
            </w:r>
            <w:r>
              <w:rPr>
                <w:rFonts w:hint="eastAsia"/>
              </w:rPr>
              <w:t>-</w:t>
            </w:r>
            <w:r>
              <w:rPr>
                <w:rFonts w:hint="eastAsia"/>
                <w:lang w:val="en-US" w:eastAsia="zh-CN"/>
              </w:rPr>
              <w:t>7</w:t>
            </w:r>
            <w:r>
              <w:rPr>
                <w:rFonts w:hint="eastAsia"/>
              </w:rPr>
              <w:t>分；方案缺失、无拓扑图0-</w:t>
            </w:r>
            <w:r>
              <w:rPr>
                <w:rFonts w:hint="eastAsia"/>
                <w:lang w:val="en-US" w:eastAsia="zh-CN"/>
              </w:rPr>
              <w:t>3</w:t>
            </w:r>
            <w:r>
              <w:rPr>
                <w:rFonts w:hint="eastAsia"/>
              </w:rPr>
              <w:t>分</w:t>
            </w:r>
          </w:p>
        </w:tc>
      </w:tr>
      <w:tr w14:paraId="656AB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2" w:hRule="atLeast"/>
        </w:trPr>
        <w:tc>
          <w:tcPr>
            <w:tcW w:w="984" w:type="dxa"/>
            <w:vAlign w:val="center"/>
          </w:tcPr>
          <w:p w14:paraId="73C4EF0A">
            <w:pPr>
              <w:pStyle w:val="6"/>
              <w:spacing w:before="100" w:line="408" w:lineRule="exact"/>
              <w:ind w:left="132"/>
              <w:jc w:val="center"/>
            </w:pPr>
            <w:r>
              <w:rPr>
                <w:position w:val="2"/>
              </w:rPr>
              <w:t>2</w:t>
            </w:r>
          </w:p>
        </w:tc>
        <w:tc>
          <w:tcPr>
            <w:tcW w:w="1499" w:type="dxa"/>
            <w:vAlign w:val="center"/>
          </w:tcPr>
          <w:p w14:paraId="61099304">
            <w:pPr>
              <w:pStyle w:val="6"/>
              <w:spacing w:before="100" w:line="345" w:lineRule="auto"/>
              <w:ind w:left="116" w:right="112" w:firstLine="2"/>
              <w:jc w:val="center"/>
            </w:pPr>
            <w:r>
              <w:rPr>
                <w:rFonts w:hint="eastAsia"/>
              </w:rPr>
              <w:t>专线施工与机房设备部署方案</w:t>
            </w:r>
          </w:p>
        </w:tc>
        <w:tc>
          <w:tcPr>
            <w:tcW w:w="981" w:type="dxa"/>
            <w:vAlign w:val="center"/>
          </w:tcPr>
          <w:p w14:paraId="4F9CD35D">
            <w:pPr>
              <w:pStyle w:val="6"/>
              <w:spacing w:before="100" w:line="224" w:lineRule="auto"/>
              <w:ind w:left="136"/>
              <w:jc w:val="center"/>
            </w:pPr>
            <w:r>
              <w:rPr>
                <w:spacing w:val="-8"/>
              </w:rPr>
              <w:t>10</w:t>
            </w:r>
            <w:r>
              <w:rPr>
                <w:spacing w:val="-59"/>
              </w:rPr>
              <w:t xml:space="preserve"> </w:t>
            </w:r>
            <w:r>
              <w:rPr>
                <w:spacing w:val="-8"/>
              </w:rPr>
              <w:t>分</w:t>
            </w:r>
          </w:p>
        </w:tc>
        <w:tc>
          <w:tcPr>
            <w:tcW w:w="7026" w:type="dxa"/>
            <w:vAlign w:val="center"/>
          </w:tcPr>
          <w:p w14:paraId="45C84743">
            <w:pPr>
              <w:pStyle w:val="6"/>
              <w:spacing w:before="203" w:line="288" w:lineRule="auto"/>
              <w:ind w:left="119" w:right="108" w:hanging="10"/>
              <w:jc w:val="both"/>
            </w:pPr>
            <w:r>
              <w:rPr>
                <w:rFonts w:hint="eastAsia"/>
                <w:spacing w:val="9"/>
              </w:rPr>
              <w:t>施工工期规划清晰、配套传输设备参数齐全、机房走线及设备部署规范、风险防控完善，8-10分；有基础施工流程4-7分；无设备清单、无工期管控0-3分</w:t>
            </w:r>
          </w:p>
        </w:tc>
      </w:tr>
      <w:tr w14:paraId="7083E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3" w:hRule="atLeast"/>
        </w:trPr>
        <w:tc>
          <w:tcPr>
            <w:tcW w:w="984" w:type="dxa"/>
            <w:vAlign w:val="center"/>
          </w:tcPr>
          <w:p w14:paraId="4BC645F9">
            <w:pPr>
              <w:pStyle w:val="6"/>
              <w:spacing w:before="100" w:line="408" w:lineRule="exact"/>
              <w:ind w:left="132"/>
              <w:jc w:val="center"/>
              <w:rPr>
                <w:rFonts w:hint="eastAsia" w:eastAsia="仿宋"/>
                <w:position w:val="2"/>
                <w:lang w:val="en-US" w:eastAsia="zh-CN"/>
              </w:rPr>
            </w:pPr>
            <w:r>
              <w:rPr>
                <w:rFonts w:hint="eastAsia"/>
                <w:position w:val="2"/>
                <w:lang w:val="en-US" w:eastAsia="zh-CN"/>
              </w:rPr>
              <w:t>3</w:t>
            </w:r>
          </w:p>
        </w:tc>
        <w:tc>
          <w:tcPr>
            <w:tcW w:w="1499" w:type="dxa"/>
            <w:vAlign w:val="center"/>
          </w:tcPr>
          <w:p w14:paraId="3B529A9B">
            <w:pPr>
              <w:pStyle w:val="6"/>
              <w:spacing w:before="100" w:line="345" w:lineRule="auto"/>
              <w:ind w:left="116" w:right="112" w:firstLine="2"/>
              <w:jc w:val="center"/>
              <w:rPr>
                <w:spacing w:val="5"/>
              </w:rPr>
            </w:pPr>
            <w:r>
              <w:rPr>
                <w:rFonts w:hint="eastAsia"/>
                <w:spacing w:val="5"/>
              </w:rPr>
              <w:t>传输链路安全与冗余保护方案</w:t>
            </w:r>
          </w:p>
        </w:tc>
        <w:tc>
          <w:tcPr>
            <w:tcW w:w="981" w:type="dxa"/>
            <w:vAlign w:val="center"/>
          </w:tcPr>
          <w:p w14:paraId="45064D0F">
            <w:pPr>
              <w:pStyle w:val="6"/>
              <w:spacing w:before="100" w:line="224" w:lineRule="auto"/>
              <w:ind w:left="136"/>
              <w:jc w:val="center"/>
              <w:rPr>
                <w:rFonts w:hint="default"/>
                <w:spacing w:val="-8"/>
                <w:lang w:val="en-US" w:eastAsia="zh-CN"/>
              </w:rPr>
            </w:pPr>
            <w:r>
              <w:rPr>
                <w:rFonts w:hint="eastAsia"/>
                <w:spacing w:val="-8"/>
                <w:lang w:val="en-US" w:eastAsia="zh-CN"/>
              </w:rPr>
              <w:t>10分</w:t>
            </w:r>
          </w:p>
        </w:tc>
        <w:tc>
          <w:tcPr>
            <w:tcW w:w="7026" w:type="dxa"/>
            <w:vAlign w:val="center"/>
          </w:tcPr>
          <w:p w14:paraId="228DCF9E">
            <w:pPr>
              <w:pStyle w:val="6"/>
              <w:spacing w:before="203" w:line="288" w:lineRule="auto"/>
              <w:ind w:left="119" w:right="108" w:hanging="10"/>
              <w:jc w:val="both"/>
              <w:rPr>
                <w:spacing w:val="-5"/>
              </w:rPr>
            </w:pPr>
            <w:r>
              <w:rPr>
                <w:rFonts w:hint="eastAsia"/>
                <w:spacing w:val="-5"/>
              </w:rPr>
              <w:t>主备链路自动切换、骨干网自愈、链路隔离防攻击、带宽平滑扩容方案完整详实，</w:t>
            </w:r>
            <w:r>
              <w:rPr>
                <w:rFonts w:hint="eastAsia"/>
                <w:spacing w:val="-5"/>
                <w:lang w:val="en-US" w:eastAsia="zh-CN"/>
              </w:rPr>
              <w:t>8-10</w:t>
            </w:r>
            <w:r>
              <w:rPr>
                <w:rFonts w:hint="eastAsia"/>
                <w:spacing w:val="-5"/>
              </w:rPr>
              <w:t>分；具备基础冗余机制</w:t>
            </w:r>
            <w:r>
              <w:rPr>
                <w:rFonts w:hint="eastAsia"/>
                <w:spacing w:val="-5"/>
                <w:lang w:val="en-US" w:eastAsia="zh-CN"/>
              </w:rPr>
              <w:t>4-7</w:t>
            </w:r>
            <w:r>
              <w:rPr>
                <w:rFonts w:hint="eastAsia"/>
                <w:spacing w:val="-5"/>
              </w:rPr>
              <w:t>分；无冗余、无安全防护0-</w:t>
            </w:r>
            <w:r>
              <w:rPr>
                <w:rFonts w:hint="eastAsia"/>
                <w:spacing w:val="-5"/>
                <w:lang w:val="en-US" w:eastAsia="zh-CN"/>
              </w:rPr>
              <w:t>3</w:t>
            </w:r>
            <w:r>
              <w:rPr>
                <w:rFonts w:hint="eastAsia"/>
                <w:spacing w:val="-5"/>
              </w:rPr>
              <w:t>分</w:t>
            </w:r>
          </w:p>
        </w:tc>
      </w:tr>
      <w:tr w14:paraId="78F19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6" w:hRule="atLeast"/>
        </w:trPr>
        <w:tc>
          <w:tcPr>
            <w:tcW w:w="984" w:type="dxa"/>
            <w:vAlign w:val="center"/>
          </w:tcPr>
          <w:p w14:paraId="5860F95E">
            <w:pPr>
              <w:pStyle w:val="6"/>
              <w:spacing w:before="100" w:line="408" w:lineRule="exact"/>
              <w:ind w:left="132"/>
              <w:jc w:val="center"/>
              <w:rPr>
                <w:rFonts w:hint="eastAsia" w:eastAsia="仿宋"/>
                <w:position w:val="2"/>
                <w:lang w:val="en-US" w:eastAsia="zh-CN"/>
              </w:rPr>
            </w:pPr>
            <w:r>
              <w:rPr>
                <w:rFonts w:hint="eastAsia"/>
                <w:position w:val="2"/>
                <w:lang w:val="en-US" w:eastAsia="zh-CN"/>
              </w:rPr>
              <w:t>4</w:t>
            </w:r>
          </w:p>
        </w:tc>
        <w:tc>
          <w:tcPr>
            <w:tcW w:w="1499" w:type="dxa"/>
            <w:shd w:val="clear" w:color="auto" w:fill="auto"/>
            <w:vAlign w:val="center"/>
          </w:tcPr>
          <w:p w14:paraId="371B7512">
            <w:pPr>
              <w:pStyle w:val="7"/>
              <w:ind w:left="0" w:leftChars="0"/>
              <w:jc w:val="center"/>
              <w:rPr>
                <w:rFonts w:hint="eastAsia" w:ascii="仿宋" w:hAnsi="仿宋" w:eastAsia="仿宋" w:cs="仿宋"/>
                <w:snapToGrid w:val="0"/>
                <w:color w:val="000000"/>
                <w:spacing w:val="5"/>
                <w:kern w:val="0"/>
                <w:sz w:val="31"/>
                <w:szCs w:val="31"/>
                <w:lang w:val="en-US" w:eastAsia="en-US" w:bidi="ar-SA"/>
              </w:rPr>
            </w:pPr>
            <w:r>
              <w:rPr>
                <w:rFonts w:hint="eastAsia" w:ascii="仿宋" w:hAnsi="仿宋" w:eastAsia="仿宋" w:cs="仿宋"/>
                <w:snapToGrid w:val="0"/>
                <w:color w:val="000000"/>
                <w:spacing w:val="5"/>
                <w:kern w:val="0"/>
                <w:sz w:val="31"/>
                <w:szCs w:val="31"/>
                <w:lang w:val="en-US" w:eastAsia="en-US" w:bidi="ar-SA"/>
              </w:rPr>
              <w:t>7×24小时运维及故障应急处置方案</w:t>
            </w:r>
          </w:p>
        </w:tc>
        <w:tc>
          <w:tcPr>
            <w:tcW w:w="981" w:type="dxa"/>
            <w:vAlign w:val="center"/>
          </w:tcPr>
          <w:p w14:paraId="53941E8E">
            <w:pPr>
              <w:pStyle w:val="6"/>
              <w:spacing w:before="100" w:line="224" w:lineRule="auto"/>
              <w:ind w:left="136"/>
              <w:jc w:val="center"/>
              <w:rPr>
                <w:spacing w:val="-8"/>
              </w:rPr>
            </w:pPr>
            <w:r>
              <w:rPr>
                <w:rFonts w:hint="eastAsia"/>
                <w:spacing w:val="-8"/>
                <w:lang w:val="en-US" w:eastAsia="zh-CN"/>
              </w:rPr>
              <w:t>10</w:t>
            </w:r>
            <w:r>
              <w:rPr>
                <w:rFonts w:hint="eastAsia"/>
                <w:spacing w:val="-8"/>
              </w:rPr>
              <w:t>分</w:t>
            </w:r>
          </w:p>
        </w:tc>
        <w:tc>
          <w:tcPr>
            <w:tcW w:w="7026" w:type="dxa"/>
            <w:shd w:val="clear" w:color="auto" w:fill="auto"/>
            <w:vAlign w:val="center"/>
          </w:tcPr>
          <w:p w14:paraId="4C32B60C">
            <w:pPr>
              <w:pStyle w:val="7"/>
              <w:ind w:left="0" w:leftChars="0"/>
              <w:jc w:val="both"/>
              <w:rPr>
                <w:rFonts w:hint="eastAsia" w:ascii="仿宋" w:hAnsi="仿宋" w:eastAsia="仿宋" w:cs="仿宋"/>
                <w:snapToGrid w:val="0"/>
                <w:color w:val="000000"/>
                <w:spacing w:val="-5"/>
                <w:kern w:val="0"/>
                <w:sz w:val="31"/>
                <w:szCs w:val="31"/>
                <w:lang w:val="en-US" w:eastAsia="en-US" w:bidi="ar-SA"/>
              </w:rPr>
            </w:pPr>
            <w:r>
              <w:rPr>
                <w:rFonts w:hint="eastAsia" w:ascii="仿宋" w:hAnsi="仿宋" w:eastAsia="仿宋" w:cs="仿宋"/>
                <w:snapToGrid w:val="0"/>
                <w:color w:val="000000"/>
                <w:spacing w:val="-5"/>
                <w:kern w:val="0"/>
                <w:sz w:val="31"/>
                <w:szCs w:val="31"/>
                <w:lang w:val="en-US" w:eastAsia="en-US" w:bidi="ar-SA"/>
              </w:rPr>
              <w:t>故障4小时抢修机制、全网实时网管监控、告警推送、故障赔付规则清晰，预案完善，</w:t>
            </w:r>
            <w:r>
              <w:rPr>
                <w:rFonts w:hint="eastAsia" w:ascii="仿宋" w:hAnsi="仿宋" w:eastAsia="仿宋" w:cs="仿宋"/>
                <w:snapToGrid w:val="0"/>
                <w:color w:val="000000"/>
                <w:spacing w:val="-5"/>
                <w:kern w:val="0"/>
                <w:sz w:val="31"/>
                <w:szCs w:val="31"/>
                <w:lang w:val="en-US" w:eastAsia="zh-CN" w:bidi="ar-SA"/>
              </w:rPr>
              <w:t>8-10</w:t>
            </w:r>
            <w:r>
              <w:rPr>
                <w:rFonts w:hint="eastAsia" w:ascii="仿宋" w:hAnsi="仿宋" w:eastAsia="仿宋" w:cs="仿宋"/>
                <w:snapToGrid w:val="0"/>
                <w:color w:val="000000"/>
                <w:spacing w:val="-5"/>
                <w:kern w:val="0"/>
                <w:sz w:val="31"/>
                <w:szCs w:val="31"/>
                <w:lang w:val="en-US" w:eastAsia="en-US" w:bidi="ar-SA"/>
              </w:rPr>
              <w:t>分；可处理常规故障</w:t>
            </w:r>
            <w:r>
              <w:rPr>
                <w:rFonts w:hint="eastAsia" w:ascii="仿宋" w:hAnsi="仿宋" w:eastAsia="仿宋" w:cs="仿宋"/>
                <w:snapToGrid w:val="0"/>
                <w:color w:val="000000"/>
                <w:spacing w:val="-5"/>
                <w:kern w:val="0"/>
                <w:sz w:val="31"/>
                <w:szCs w:val="31"/>
                <w:lang w:val="en-US" w:eastAsia="zh-CN" w:bidi="ar-SA"/>
              </w:rPr>
              <w:t>4-7</w:t>
            </w:r>
            <w:r>
              <w:rPr>
                <w:rFonts w:hint="eastAsia" w:ascii="仿宋" w:hAnsi="仿宋" w:eastAsia="仿宋" w:cs="仿宋"/>
                <w:snapToGrid w:val="0"/>
                <w:color w:val="000000"/>
                <w:spacing w:val="-5"/>
                <w:kern w:val="0"/>
                <w:sz w:val="31"/>
                <w:szCs w:val="31"/>
                <w:lang w:val="en-US" w:eastAsia="en-US" w:bidi="ar-SA"/>
              </w:rPr>
              <w:t>分；无故障处置流程0-</w:t>
            </w:r>
            <w:r>
              <w:rPr>
                <w:rFonts w:hint="eastAsia" w:ascii="仿宋" w:hAnsi="仿宋" w:eastAsia="仿宋" w:cs="仿宋"/>
                <w:snapToGrid w:val="0"/>
                <w:color w:val="000000"/>
                <w:spacing w:val="-5"/>
                <w:kern w:val="0"/>
                <w:sz w:val="31"/>
                <w:szCs w:val="31"/>
                <w:lang w:val="en-US" w:eastAsia="zh-CN" w:bidi="ar-SA"/>
              </w:rPr>
              <w:t>3</w:t>
            </w:r>
            <w:r>
              <w:rPr>
                <w:rFonts w:hint="eastAsia" w:ascii="仿宋" w:hAnsi="仿宋" w:eastAsia="仿宋" w:cs="仿宋"/>
                <w:snapToGrid w:val="0"/>
                <w:color w:val="000000"/>
                <w:spacing w:val="-5"/>
                <w:kern w:val="0"/>
                <w:sz w:val="31"/>
                <w:szCs w:val="31"/>
                <w:lang w:val="en-US" w:eastAsia="en-US" w:bidi="ar-SA"/>
              </w:rPr>
              <w:t>分</w:t>
            </w:r>
          </w:p>
        </w:tc>
      </w:tr>
      <w:tr w14:paraId="05493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8" w:hRule="atLeast"/>
        </w:trPr>
        <w:tc>
          <w:tcPr>
            <w:tcW w:w="984" w:type="dxa"/>
            <w:vAlign w:val="center"/>
          </w:tcPr>
          <w:p w14:paraId="5227CB91">
            <w:pPr>
              <w:pStyle w:val="6"/>
              <w:spacing w:before="100" w:line="408" w:lineRule="exact"/>
              <w:ind w:left="132"/>
              <w:jc w:val="center"/>
              <w:rPr>
                <w:rFonts w:hint="eastAsia" w:eastAsia="仿宋"/>
                <w:position w:val="2"/>
                <w:lang w:val="en-US" w:eastAsia="zh-CN"/>
              </w:rPr>
            </w:pPr>
            <w:r>
              <w:rPr>
                <w:rFonts w:hint="eastAsia"/>
                <w:position w:val="2"/>
                <w:lang w:val="en-US" w:eastAsia="zh-CN"/>
              </w:rPr>
              <w:t>5</w:t>
            </w:r>
          </w:p>
        </w:tc>
        <w:tc>
          <w:tcPr>
            <w:tcW w:w="1499" w:type="dxa"/>
            <w:shd w:val="clear" w:color="auto" w:fill="auto"/>
            <w:vAlign w:val="center"/>
          </w:tcPr>
          <w:p w14:paraId="7E4F0EC8">
            <w:pPr>
              <w:pStyle w:val="7"/>
              <w:ind w:left="0" w:leftChars="0" w:firstLine="0" w:firstLineChars="0"/>
              <w:jc w:val="center"/>
              <w:rPr>
                <w:rFonts w:hint="eastAsia" w:ascii="仿宋" w:hAnsi="仿宋" w:eastAsia="仿宋" w:cs="仿宋"/>
                <w:snapToGrid w:val="0"/>
                <w:color w:val="000000"/>
                <w:spacing w:val="5"/>
                <w:kern w:val="0"/>
                <w:sz w:val="31"/>
                <w:szCs w:val="31"/>
                <w:lang w:val="en-US" w:eastAsia="en-US" w:bidi="ar-SA"/>
              </w:rPr>
            </w:pPr>
            <w:r>
              <w:rPr>
                <w:rFonts w:hint="eastAsia" w:ascii="仿宋" w:hAnsi="仿宋" w:eastAsia="仿宋" w:cs="仿宋"/>
                <w:snapToGrid w:val="0"/>
                <w:color w:val="000000"/>
                <w:spacing w:val="5"/>
                <w:kern w:val="0"/>
                <w:sz w:val="31"/>
                <w:szCs w:val="31"/>
                <w:lang w:val="en-US" w:eastAsia="en-US" w:bidi="ar-SA"/>
              </w:rPr>
              <w:t>季度巡检及日常网络保障方案</w:t>
            </w:r>
          </w:p>
        </w:tc>
        <w:tc>
          <w:tcPr>
            <w:tcW w:w="981" w:type="dxa"/>
            <w:vAlign w:val="center"/>
          </w:tcPr>
          <w:p w14:paraId="52A76604">
            <w:pPr>
              <w:pStyle w:val="6"/>
              <w:spacing w:before="100" w:line="224" w:lineRule="auto"/>
              <w:ind w:left="136"/>
              <w:jc w:val="center"/>
              <w:rPr>
                <w:spacing w:val="-8"/>
              </w:rPr>
            </w:pPr>
            <w:r>
              <w:rPr>
                <w:rFonts w:hint="eastAsia"/>
                <w:spacing w:val="-8"/>
                <w:lang w:val="en-US" w:eastAsia="zh-CN"/>
              </w:rPr>
              <w:t>10</w:t>
            </w:r>
            <w:r>
              <w:rPr>
                <w:rFonts w:hint="eastAsia"/>
                <w:spacing w:val="-8"/>
              </w:rPr>
              <w:t>分</w:t>
            </w:r>
          </w:p>
        </w:tc>
        <w:tc>
          <w:tcPr>
            <w:tcW w:w="7026" w:type="dxa"/>
            <w:shd w:val="clear" w:color="auto" w:fill="auto"/>
            <w:vAlign w:val="center"/>
          </w:tcPr>
          <w:p w14:paraId="126EABEF">
            <w:pPr>
              <w:pStyle w:val="7"/>
              <w:ind w:left="0" w:leftChars="0"/>
              <w:jc w:val="both"/>
              <w:rPr>
                <w:rFonts w:hint="eastAsia" w:ascii="仿宋" w:hAnsi="仿宋" w:eastAsia="仿宋" w:cs="仿宋"/>
                <w:snapToGrid w:val="0"/>
                <w:color w:val="000000"/>
                <w:spacing w:val="-5"/>
                <w:kern w:val="0"/>
                <w:sz w:val="31"/>
                <w:szCs w:val="31"/>
                <w:lang w:val="en-US" w:eastAsia="en-US" w:bidi="ar-SA"/>
              </w:rPr>
            </w:pPr>
            <w:r>
              <w:rPr>
                <w:rFonts w:hint="eastAsia" w:ascii="仿宋" w:hAnsi="仿宋" w:eastAsia="仿宋" w:cs="仿宋"/>
                <w:snapToGrid w:val="0"/>
                <w:color w:val="000000"/>
                <w:spacing w:val="-5"/>
                <w:kern w:val="0"/>
                <w:sz w:val="31"/>
                <w:szCs w:val="31"/>
                <w:lang w:val="en-US" w:eastAsia="en-US" w:bidi="ar-SA"/>
              </w:rPr>
              <w:t>季度巡检清单、巡检报告、机房设备/线路常态化维护措施完整，</w:t>
            </w:r>
            <w:r>
              <w:rPr>
                <w:rFonts w:hint="eastAsia" w:ascii="仿宋" w:hAnsi="仿宋" w:eastAsia="仿宋" w:cs="仿宋"/>
                <w:snapToGrid w:val="0"/>
                <w:color w:val="000000"/>
                <w:spacing w:val="-5"/>
                <w:kern w:val="0"/>
                <w:sz w:val="31"/>
                <w:szCs w:val="31"/>
                <w:lang w:val="en-US" w:eastAsia="zh-CN" w:bidi="ar-SA"/>
              </w:rPr>
              <w:t>8-10</w:t>
            </w:r>
            <w:r>
              <w:rPr>
                <w:rFonts w:hint="eastAsia" w:ascii="仿宋" w:hAnsi="仿宋" w:eastAsia="仿宋" w:cs="仿宋"/>
                <w:snapToGrid w:val="0"/>
                <w:color w:val="000000"/>
                <w:spacing w:val="-5"/>
                <w:kern w:val="0"/>
                <w:sz w:val="31"/>
                <w:szCs w:val="31"/>
                <w:lang w:val="en-US" w:eastAsia="en-US" w:bidi="ar-SA"/>
              </w:rPr>
              <w:t>分；仅有简单巡检说明</w:t>
            </w:r>
            <w:r>
              <w:rPr>
                <w:rFonts w:hint="eastAsia" w:ascii="仿宋" w:hAnsi="仿宋" w:eastAsia="仿宋" w:cs="仿宋"/>
                <w:snapToGrid w:val="0"/>
                <w:color w:val="000000"/>
                <w:spacing w:val="-5"/>
                <w:kern w:val="0"/>
                <w:sz w:val="31"/>
                <w:szCs w:val="31"/>
                <w:lang w:val="en-US" w:eastAsia="zh-CN" w:bidi="ar-SA"/>
              </w:rPr>
              <w:t>4-7</w:t>
            </w:r>
            <w:r>
              <w:rPr>
                <w:rFonts w:hint="eastAsia" w:ascii="仿宋" w:hAnsi="仿宋" w:eastAsia="仿宋" w:cs="仿宋"/>
                <w:snapToGrid w:val="0"/>
                <w:color w:val="000000"/>
                <w:spacing w:val="-5"/>
                <w:kern w:val="0"/>
                <w:sz w:val="31"/>
                <w:szCs w:val="31"/>
                <w:lang w:val="en-US" w:eastAsia="en-US" w:bidi="ar-SA"/>
              </w:rPr>
              <w:t>分；无巡检方案</w:t>
            </w:r>
            <w:r>
              <w:rPr>
                <w:rFonts w:hint="eastAsia" w:ascii="仿宋" w:hAnsi="仿宋" w:eastAsia="仿宋" w:cs="仿宋"/>
                <w:snapToGrid w:val="0"/>
                <w:color w:val="000000"/>
                <w:spacing w:val="-5"/>
                <w:kern w:val="0"/>
                <w:sz w:val="31"/>
                <w:szCs w:val="31"/>
                <w:lang w:val="en-US" w:eastAsia="zh-CN" w:bidi="ar-SA"/>
              </w:rPr>
              <w:t>0-3</w:t>
            </w:r>
            <w:r>
              <w:rPr>
                <w:rFonts w:hint="eastAsia" w:ascii="仿宋" w:hAnsi="仿宋" w:eastAsia="仿宋" w:cs="仿宋"/>
                <w:snapToGrid w:val="0"/>
                <w:color w:val="000000"/>
                <w:spacing w:val="-5"/>
                <w:kern w:val="0"/>
                <w:sz w:val="31"/>
                <w:szCs w:val="31"/>
                <w:lang w:val="en-US" w:eastAsia="en-US" w:bidi="ar-SA"/>
              </w:rPr>
              <w:t>分</w:t>
            </w:r>
          </w:p>
        </w:tc>
      </w:tr>
      <w:tr w14:paraId="7FC3B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5" w:hRule="atLeast"/>
        </w:trPr>
        <w:tc>
          <w:tcPr>
            <w:tcW w:w="984" w:type="dxa"/>
            <w:vAlign w:val="center"/>
          </w:tcPr>
          <w:p w14:paraId="4ACF6E15">
            <w:pPr>
              <w:pStyle w:val="6"/>
              <w:spacing w:before="100" w:line="408" w:lineRule="exact"/>
              <w:ind w:left="132"/>
              <w:jc w:val="center"/>
              <w:rPr>
                <w:rFonts w:hint="eastAsia" w:eastAsia="仿宋"/>
                <w:position w:val="2"/>
                <w:lang w:val="en-US" w:eastAsia="zh-CN"/>
              </w:rPr>
            </w:pPr>
            <w:r>
              <w:rPr>
                <w:rFonts w:hint="eastAsia"/>
                <w:position w:val="2"/>
                <w:lang w:val="en-US" w:eastAsia="zh-CN"/>
              </w:rPr>
              <w:t>6</w:t>
            </w:r>
          </w:p>
        </w:tc>
        <w:tc>
          <w:tcPr>
            <w:tcW w:w="1499" w:type="dxa"/>
            <w:shd w:val="clear" w:color="auto" w:fill="auto"/>
            <w:vAlign w:val="center"/>
          </w:tcPr>
          <w:p w14:paraId="3E44C0BD">
            <w:pPr>
              <w:pStyle w:val="7"/>
              <w:ind w:left="0" w:leftChars="0"/>
              <w:jc w:val="center"/>
              <w:rPr>
                <w:rFonts w:hint="eastAsia" w:ascii="仿宋" w:hAnsi="仿宋" w:eastAsia="仿宋" w:cs="仿宋"/>
                <w:snapToGrid w:val="0"/>
                <w:color w:val="000000"/>
                <w:spacing w:val="5"/>
                <w:kern w:val="0"/>
                <w:sz w:val="31"/>
                <w:szCs w:val="31"/>
                <w:lang w:val="en-US" w:eastAsia="en-US" w:bidi="ar-SA"/>
              </w:rPr>
            </w:pPr>
            <w:r>
              <w:rPr>
                <w:rFonts w:hint="eastAsia" w:ascii="仿宋" w:hAnsi="仿宋" w:eastAsia="仿宋" w:cs="仿宋"/>
                <w:snapToGrid w:val="0"/>
                <w:color w:val="000000"/>
                <w:spacing w:val="5"/>
                <w:kern w:val="0"/>
                <w:sz w:val="31"/>
                <w:szCs w:val="31"/>
                <w:lang w:val="en-US" w:eastAsia="en-US" w:bidi="ar-SA"/>
              </w:rPr>
              <w:t>专项运维服务团队配置</w:t>
            </w:r>
          </w:p>
        </w:tc>
        <w:tc>
          <w:tcPr>
            <w:tcW w:w="981" w:type="dxa"/>
            <w:vAlign w:val="center"/>
          </w:tcPr>
          <w:p w14:paraId="03501B4B">
            <w:pPr>
              <w:pStyle w:val="6"/>
              <w:spacing w:before="100" w:line="224" w:lineRule="auto"/>
              <w:ind w:left="136"/>
              <w:jc w:val="center"/>
              <w:rPr>
                <w:spacing w:val="-8"/>
              </w:rPr>
            </w:pPr>
            <w:r>
              <w:rPr>
                <w:rFonts w:hint="eastAsia"/>
                <w:spacing w:val="-8"/>
                <w:lang w:val="en-US" w:eastAsia="zh-CN"/>
              </w:rPr>
              <w:t>10</w:t>
            </w:r>
            <w:r>
              <w:rPr>
                <w:rFonts w:hint="eastAsia"/>
                <w:spacing w:val="-8"/>
              </w:rPr>
              <w:t>分</w:t>
            </w:r>
          </w:p>
        </w:tc>
        <w:tc>
          <w:tcPr>
            <w:tcW w:w="7026" w:type="dxa"/>
            <w:shd w:val="clear" w:color="auto" w:fill="auto"/>
            <w:vAlign w:val="center"/>
          </w:tcPr>
          <w:p w14:paraId="73404EA6">
            <w:pPr>
              <w:pStyle w:val="7"/>
              <w:ind w:left="0" w:leftChars="0"/>
              <w:jc w:val="both"/>
              <w:rPr>
                <w:rFonts w:hint="eastAsia" w:ascii="仿宋" w:hAnsi="仿宋" w:eastAsia="仿宋" w:cs="仿宋"/>
                <w:snapToGrid w:val="0"/>
                <w:color w:val="000000"/>
                <w:spacing w:val="-5"/>
                <w:kern w:val="0"/>
                <w:sz w:val="31"/>
                <w:szCs w:val="31"/>
                <w:lang w:val="en-US" w:eastAsia="en-US" w:bidi="ar-SA"/>
              </w:rPr>
            </w:pPr>
            <w:r>
              <w:rPr>
                <w:rFonts w:hint="eastAsia" w:ascii="仿宋" w:hAnsi="仿宋" w:eastAsia="仿宋" w:cs="仿宋"/>
                <w:snapToGrid w:val="0"/>
                <w:color w:val="000000"/>
                <w:spacing w:val="-5"/>
                <w:kern w:val="0"/>
                <w:sz w:val="31"/>
                <w:szCs w:val="31"/>
                <w:lang w:val="en-US" w:eastAsia="en-US" w:bidi="ar-SA"/>
              </w:rPr>
              <w:t>配备专职通信传输技术人员、运维团队得满分；团队配置简陋、无专职人员</w:t>
            </w:r>
            <w:r>
              <w:rPr>
                <w:rFonts w:hint="eastAsia" w:ascii="仿宋" w:hAnsi="仿宋" w:eastAsia="仿宋" w:cs="仿宋"/>
                <w:snapToGrid w:val="0"/>
                <w:color w:val="000000"/>
                <w:spacing w:val="-5"/>
                <w:kern w:val="0"/>
                <w:sz w:val="31"/>
                <w:szCs w:val="31"/>
                <w:lang w:val="en-US" w:eastAsia="zh-CN" w:bidi="ar-SA"/>
              </w:rPr>
              <w:t>0-5</w:t>
            </w:r>
            <w:r>
              <w:rPr>
                <w:rFonts w:hint="eastAsia" w:ascii="仿宋" w:hAnsi="仿宋" w:eastAsia="仿宋" w:cs="仿宋"/>
                <w:snapToGrid w:val="0"/>
                <w:color w:val="000000"/>
                <w:spacing w:val="-5"/>
                <w:kern w:val="0"/>
                <w:sz w:val="31"/>
                <w:szCs w:val="31"/>
                <w:lang w:val="en-US" w:eastAsia="en-US" w:bidi="ar-SA"/>
              </w:rPr>
              <w:t>分</w:t>
            </w:r>
          </w:p>
        </w:tc>
      </w:tr>
    </w:tbl>
    <w:p w14:paraId="1DD7C5C8">
      <w:pPr>
        <w:rPr>
          <w:rFonts w:ascii="Arial"/>
          <w:sz w:val="21"/>
        </w:rPr>
      </w:pPr>
    </w:p>
    <w:sectPr>
      <w:footerReference r:id="rId8" w:type="default"/>
      <w:pgSz w:w="11906" w:h="16838"/>
      <w:pgMar w:top="681" w:right="803" w:bottom="1478" w:left="607" w:header="0" w:footer="120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5AF35">
    <w:pPr>
      <w:spacing w:line="269" w:lineRule="exact"/>
      <w:ind w:left="5730"/>
      <w:rPr>
        <w:rFonts w:ascii="等线" w:hAnsi="等线" w:eastAsia="等线" w:cs="等线"/>
        <w:sz w:val="18"/>
        <w:szCs w:val="18"/>
      </w:rPr>
    </w:pPr>
    <w:r>
      <w:rPr>
        <w:rFonts w:ascii="等线" w:hAnsi="等线" w:eastAsia="等线" w:cs="等线"/>
        <w:position w:val="3"/>
        <w:sz w:val="18"/>
        <w:szCs w:val="1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B2CB5">
    <w:pPr>
      <w:spacing w:line="269" w:lineRule="exact"/>
      <w:ind w:left="5726"/>
      <w:rPr>
        <w:rFonts w:ascii="等线" w:hAnsi="等线" w:eastAsia="等线" w:cs="等线"/>
        <w:sz w:val="18"/>
        <w:szCs w:val="18"/>
      </w:rPr>
    </w:pPr>
    <w:r>
      <w:rPr>
        <w:rFonts w:ascii="等线" w:hAnsi="等线" w:eastAsia="等线" w:cs="等线"/>
        <w:position w:val="3"/>
        <w:sz w:val="18"/>
        <w:szCs w:val="18"/>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D7F17">
    <w:pPr>
      <w:spacing w:line="268" w:lineRule="exact"/>
      <w:ind w:left="5724"/>
      <w:rPr>
        <w:rFonts w:ascii="等线" w:hAnsi="等线" w:eastAsia="等线" w:cs="等线"/>
        <w:sz w:val="18"/>
        <w:szCs w:val="18"/>
      </w:rPr>
    </w:pPr>
    <w:r>
      <w:rPr>
        <w:rFonts w:ascii="等线" w:hAnsi="等线" w:eastAsia="等线" w:cs="等线"/>
        <w:position w:val="3"/>
        <w:sz w:val="18"/>
        <w:szCs w:val="18"/>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A89AC">
    <w:pPr>
      <w:spacing w:line="268" w:lineRule="exact"/>
      <w:ind w:left="5727"/>
      <w:rPr>
        <w:rFonts w:ascii="等线" w:hAnsi="等线" w:eastAsia="等线" w:cs="等线"/>
        <w:sz w:val="18"/>
        <w:szCs w:val="18"/>
      </w:rPr>
    </w:pPr>
    <w:r>
      <w:rPr>
        <w:rFonts w:ascii="等线" w:hAnsi="等线" w:eastAsia="等线" w:cs="等线"/>
        <w:position w:val="3"/>
        <w:sz w:val="18"/>
        <w:szCs w:val="18"/>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F8351D"/>
    <w:multiLevelType w:val="singleLevel"/>
    <w:tmpl w:val="B1F8351D"/>
    <w:lvl w:ilvl="0" w:tentative="0">
      <w:start w:val="3"/>
      <w:numFmt w:val="decimal"/>
      <w:suff w:val="nothing"/>
      <w:lvlText w:val="%1、"/>
      <w:lvlJc w:val="left"/>
    </w:lvl>
  </w:abstractNum>
  <w:abstractNum w:abstractNumId="1">
    <w:nsid w:val="E0FB9837"/>
    <w:multiLevelType w:val="singleLevel"/>
    <w:tmpl w:val="E0FB9837"/>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13177A4C"/>
    <w:rsid w:val="17474340"/>
    <w:rsid w:val="282D44E5"/>
    <w:rsid w:val="3BB40CE0"/>
    <w:rsid w:val="585B4645"/>
    <w:rsid w:val="596354E1"/>
    <w:rsid w:val="6E2B20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方正小标宋_GBK" w:hAnsi="方正小标宋_GBK" w:eastAsia="方正小标宋_GBK" w:cs="方正小标宋_GBK"/>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31"/>
      <w:szCs w:val="31"/>
      <w:lang w:val="en-US" w:eastAsia="en-US" w:bidi="ar-SA"/>
    </w:rPr>
  </w:style>
  <w:style w:type="paragraph" w:customStyle="1" w:styleId="7">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1452</Words>
  <Characters>1529</Characters>
  <TotalTime>4</TotalTime>
  <ScaleCrop>false</ScaleCrop>
  <LinksUpToDate>false</LinksUpToDate>
  <CharactersWithSpaces>1563</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2026-05-20T03:37:00Z</dcterms:created>
  <dc:creator>Administrator</dc:creator>
  <cp:lastModifiedBy>道长</cp:lastModifiedBy>
  <cp:lastPrinted>2026-05-20T04:13:00Z</cp:lastPrinted>
  <dcterms:modified xsi:type="dcterms:W3CDTF">2026-08-07T04:49:27Z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2026-05-20T11:37:42Z</vt:filetime>
  </property>
  <property fmtid="{D5CDD505-2E9C-101B-9397-08002B2CF9AE}" pid="4" name="KSOTemplateDocerSaveRecord">
    <vt:lpwstr>eyJoZGlkIjoiMmY0MzczOWYzYjNlNTc4ZTg4NTNhY2JmNDkzNmE3N2QiLCJ1c2VySWQiOiIxNTE3NTczNzEzIn0=</vt:lpwstr>
  </property>
  <property fmtid="{D5CDD505-2E9C-101B-9397-08002B2CF9AE}" pid="5" name="KSOProductBuildVer">
    <vt:lpwstr>2052-12.1.0.28022</vt:lpwstr>
  </property>
  <property fmtid="{D5CDD505-2E9C-101B-9397-08002B2CF9AE}" pid="6" name="ICV">
    <vt:lpwstr>F14C929A149C42088D90914F06E19C82_12</vt:lpwstr>
  </property>
</Properties>
</file>